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20-728 vom 13. Oktober 2020</w:t>
      </w:r>
    </w:p>
    <w:p>
      <w:r>
        <w:t>SG Gerichte, 2020-10-13, DE</w:t>
      </w:r>
    </w:p>
    <w:p>
      <w:r>
        <w:rPr>
          <w:b/>
        </w:rPr>
        <w:t xml:space="preserve">Quelle: </w:t>
      </w:r>
      <w:r>
        <w:t>https://mcp.opencaselaw.ch/entscheid/sg_publikationen_20-728</w:t>
      </w:r>
    </w:p>
    <w:p>
      <w:r>
        <w:t>FR: SG_PUBLIKATIONEN 20-728 du 13 octobre 2020</w:t>
      </w:r>
    </w:p>
    <w:p>
      <w:r>
        <w:t>IT: SG_PUBLIKATIONEN 20-728 del 13 ottobre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 unter nachfolgender Einschränkung – gegeben (Art. 45 VRP).</w:t>
      </w:r>
    </w:p>
    <w:p>
      <w:r>
        <w:rPr>
          <w:b/>
        </w:rPr>
        <w:t>E. 1.3</w:t>
      </w:r>
    </w:p>
    <w:p>
      <w:r>
        <w:t>Die Vorinstanz 2 führte in Ziff. 7.3 der Erwägungen der ange- fochtenen Baubewilligung aus, die geplanten Wohnungen seien im Grundsatz hindernisfrei erschlossen. Allerdings sei dem Amt für Bau- bewilligungen innert 30 Tagen seit Rechtskraft der Baubewilligung ein Ausführungsplan zu den Grundrissen der Nasszellen sowie ein Detail- plan der Türschwellen (insbesondere von den Übergängen der Wohn- zimmer zu den Balkonen/Terrassen) einzureichen. Die Rekurrentin rügt diesbezüglich, es sei koordinationsrechtlich unzulässig, rechtlich</w:t>
      </w:r>
    </w:p>
    <w:p>
      <w:r>
        <w:t>Entscheid des Baudepartementes SG (Nr. 96/2020), Seite 7/26</w:t>
      </w:r>
    </w:p>
    <w:p>
      <w:r>
        <w:t>relevante Themen, wie den offenbar noch nicht vollständig gegebenen behindertengerechten Ausbau der Wohnungen, nicht zu beurteilen, sondern in ein späteres Verfahrensstadium zu verweisen.</w:t>
      </w:r>
    </w:p>
    <w:p>
      <w:r>
        <w:rPr>
          <w:b/>
        </w:rPr>
        <w:t>E. 1.3.1</w:t>
      </w:r>
    </w:p>
    <w:p>
      <w:r>
        <w:t>Nach Art. 45 Abs. 1 VRP ist zur Erhebung eines Rekurses be- rechtigt, wer an der Änderung oder Aufhebung der Verfügung oder des Entscheids ein eigenes schutzwürdiges Interesse dartut. Schutzwür- dig ist es, wenn der Betroffene rechtlich geschützte Interessen geltend macht oder wenn eine Verfügung oder ein Entscheid seine tatsächli- che Interessenlage mehr berührt als irgendeinen Dritten oder die All- gemeinheit (GEISSER/ZOGG, in: Rizvi/Schindler/Cavelti [Hrsg.], Praxis- kommentar zum Gesetz über die Verwaltungsrechtspflege, Zü- rich/St.Gallen 2020, Art. 45 N 12, CAVELTI/VÖGELI, Verwaltungsge- richtsbarkeit im Kanton St.Gallen, St.Gallen 2003, Rz. 390 mit Hinwei- sen). Nicht entscheidwesentlich ist, ob der Beschwerdeführer zum Baugrundstück direkten Sichtkontakt hat (VerwGE B 2009/25 vom 15. Oktober 2009 Erw. 1.2, VerwGE B 2009/219 vom 24. August 2010 Erw. 3.2.2). Das schutzwürdige Interesse besteht im praktischen Nut- zen, den ein erfolgreich geführtes Rechtsmittel dem Betroffenen in sei- ner rechtlichen oder tatsächlichen Situation einträgt, bzw. in der Ab- wendung materieller, ideeller oder sonstiger Nachteile, den ein Be- stand der angefochtenen Verfügung oder des Entscheids mit sich brin- gen würde (GEISSER/ZOGG, a.a.O., Art. 45 N 12, CAVELTI/VÖGELI, a.a.O., Rz. 391; Urteil des Bundesgerichtes 1C_236/2010 vom 16. Juli 2010 Erw. 1.3 ff.).</w:t>
      </w:r>
    </w:p>
    <w:p>
      <w:r>
        <w:rPr>
          <w:b/>
        </w:rPr>
        <w:t>E. 1.3.2</w:t>
      </w:r>
    </w:p>
    <w:p>
      <w:r>
        <w:t>Nach der bundesgerichtlichen Rechtsprechung kann ein solcher Nutzen darin bestehen, dass die geplante Baute im den Nachbarn be- lastenden Bereich nicht oder anders realisiert wird als geplant. Die in- nere Ausgestaltung der Baute belastet den Nachbarn dagegen nur, wenn sie Auswirkungen auf seine Situation hat. Dies kann beim Ein- bau einer zusätzlichen Wohnung zutreffen, welche eine intensivere Nutzung der Baute ermöglicht. Dagegen wurden bezüglich der Grösse von unterirdischen Gebäudeteilen oder die Ausgestaltung hausinter- ner Treppen relevante Auswirkungen auf einen Nachbarn vom Bun- desgericht bereits verneint. Der Nachbar erleidet auch keine solchen Nachteile, wenn entlang einer von seinem Grundstück aus nicht sicht- baren Garageneinfahrt für Behinderte möglicherweise ein Treppenlift erstellt werden muss. Detailfragen der Erschliessung, die mit einer Auflage korrigiert werden können, haben ebenfalls keine relevanten Auswirkungen auf Nachbarn (Urteil des Bundesgerichtes 1C_378/2019 vom 17. Juni 2020 Erw. 1.2 mit Hinweisen).</w:t>
      </w:r>
    </w:p>
    <w:p>
      <w:r>
        <w:rPr>
          <w:b/>
        </w:rPr>
        <w:t>E. 1.3.3</w:t>
      </w:r>
    </w:p>
    <w:p>
      <w:r>
        <w:t>Würde die Rekurrentin mit ihrer sinngemässen Rüge der Verlet- zung von Art. 102 des Planungs- und Baugesetzes (sGS 731.1; abge- kürzt PBG) – der vorliegend unmittelbar anwendbar ist (vgl. dazu die nachfolgende Erw. 2) – durchdringen, müssten die Rekursgegner die Türschwellen und innere Raumaufteilung der Wohnungen durch eine Änderung der Grundrisse der Nasszellen etwas anpassen. Solche Än- derungen des Bauprojekts können – wie das unter Abschnitt IV, Ziff. 6,</w:t>
      </w:r>
    </w:p>
    <w:p>
      <w:r>
        <w:t>Entscheid des Baudepartementes SG (Nr. 96/2020), Seite 8/26</w:t>
      </w:r>
    </w:p>
    <w:p>
      <w:r>
        <w:t>der angefochtenen Baubewilligung von der Vorinstanz 2 geltend ge- macht wurde – in einer Auflage bzw. Nebenbestimmung der Baube- willigung vorgesehen werden (Urteil des Bundesgerichtes 1C_378/2019 vom 17. Juni 2020 Erw. 10.2 mit Hinweisen). Dass diese Auflage für die Rekurrentin einen praktischen Nutzen hätte, macht sie nicht geltend und ist auch nicht ersichtlich, da sie die äussere Erschei- nung der Baute nicht verändert und sie nicht zu einer weniger intensi- ven Gebäudenutzung führen würde. Demnach ist auf die Rüge betref- fend die behindertengerechte Raumaufteilung im Inneren der Woh- nungen – mangels Legitimation – nicht einzutreten.</w:t>
      </w:r>
    </w:p>
    <w:p>
      <w:r>
        <w:rPr>
          <w:b/>
        </w:rPr>
        <w:t>E. 1.4</w:t>
      </w:r>
    </w:p>
    <w:p>
      <w:r>
        <w:t>Im Übrigen ist auf den Rekurs einzutreten.</w:t>
      </w:r>
    </w:p>
    <w:p>
      <w:r>
        <w:rPr>
          <w:b/>
        </w:rPr>
        <w:t>E. 2</w:t>
      </w:r>
    </w:p>
    <w:p>
      <w:r>
        <w:t>Am 1. Oktober 2017 ist das Planungs- und Baugesetz in Kraft getreten und das Baugesetz vom 6. Juni 1972 (nGS 8, 134; abgekürzt BauG) aufgehoben worden (Art. 172 Bst. a PBG). Der erstinstanzliche Ein- sprache- und Baubewilligungsentscheid der Vorinstanz 2 erging am</w:t>
      </w:r>
    </w:p>
    <w:p>
      <w:r>
        <w:rPr>
          <w:b/>
        </w:rPr>
        <w:t>E. 6</w:t>
      </w:r>
    </w:p>
    <w:p>
      <w:r>
        <w:t>Damit aber sind das Baugrundstück Nr. 001 und die anderen, bereits überbauten Grundstücke am M.___weg als strassenmässig nicht hin- reichend erschlossen zu betrachten. Nachdem die hinreichende stras- senmässige Erschliessung eines Baugrundstücks unabdingbare Vo- raussetzung für die Baureife im Sinn von Art. 66 Bst. a PBG und damit für die Baubewilligungserteilung ist und diese vorliegend fehlt, sind auch Baubewilligung und Einspracheentscheid der Vorinstanz 2 allein schon aus diesem Grund aufzuheben. Aus verfahrensökonomischen Gründen ist es indessen angezeigt, im Folgenden auf einige weitere, im Rekurs gegen die Baubewilligung erhobene Rügen noch detaillier- ter einzugehen:</w:t>
      </w:r>
    </w:p>
    <w:p>
      <w:r>
        <w:rPr>
          <w:b/>
        </w:rPr>
        <w:t>E. 6.1</w:t>
      </w:r>
    </w:p>
    <w:p>
      <w:r>
        <w:t>Die Rekurrentin rügt, das geplante Tiefgaragengeschoss sei – von Süden aus betrachtet – keine unterirdische Baute, weshalb es den ordentlichen Grenzabstand einzuhalten habe.</w:t>
      </w:r>
    </w:p>
    <w:p>
      <w:r>
        <w:rPr>
          <w:b/>
        </w:rPr>
        <w:t>E. 6.1.1</w:t>
      </w:r>
    </w:p>
    <w:p>
      <w:r>
        <w:t>Nach dem allgemeinen Sprachgebrauch liegen unterirdische Bauten unter dem Terrain. Eine detaillierte Begriffsumschreibung ent- halten jedoch weder (der in diesem Verfahren nicht direkt anwend- bare) Art. 95 Abs. 1 PBG, wonach für unterirdische Gebäude oder Ge- bäudeteile keine Abstandsvorschriften bestehen, noch Art. 56 Abs. 4 BauG, wonach unterirdische Bauten bis zur Grenze gestellt werden können, wenn dadurch schutzwürdige Interessen der Nachbarn nicht beeinträchtigt werden. Die Gemeinden können den Begriff der unterir- dischen Baute im Baureglement zwar näher umschreiben, sind dabei aber an den Sinn und Zweck von Art. 56 Abs. 4 BauG gebunden. Somit können auch unter dem gestalteten Terrain bzw. unter einer künstli- chen Aufschüttung liegende Bauten als unterirdisch gelten, sofern die Regelbauvorschriften der Gemeinde dies zulassen (BDE Nr. 4/2016 vom 25. Januar 2016 Erw. 3.2 mit Hinweisen); solche Bauten oder Bauteile müssen aber auf jeden Fall stets vollständig unter dem (ge- wachsenen oder gestalteten) Terrain liegen. Regelungen in kommu- nalen Baureglementen, wonach unterirdische Bauten teilweise auch über dem Terrain liegen dürfen, würden dagegen gegen kantonales Recht verstossen und wären mithin unzulässig (BDE Nr. 14/2020 vom 3. März 2020 Erw. 3.1, BDE Nr. 77/2020 vom 20. August 2020 Erw. 5.2).</w:t>
      </w:r>
    </w:p>
    <w:p>
      <w:r>
        <w:rPr>
          <w:b/>
        </w:rPr>
        <w:t>E. 6.1.2</w:t>
      </w:r>
    </w:p>
    <w:p>
      <w:r>
        <w:t>Die Stadt Z.___hat den Begriff der unterirdischen Baute in Art. 31 Abs. 1 BauO insofern näher umschrieben, als eine Baute dann als unterirdisch gilt, wenn sie ganz im gewachsenen Terrain liegt (Bst. a) oder das gewachsene Terrain höchstens 1 m überragt und so über- deckt ist, dass sich die Aufschüttung gut in das gewachsene Terrain einfügt (Bst. b). Aus dieser Bestimmung folgt unmissverständlich, dass unterirdische Bauten immer – und zwar allseitig – zumindest überdeckt sein müssen, um auch tatsächlich als unterirdisch beurteilt werden zu können. Aus dem Fassadenplan Nr. 304 ("Längsschnitt durch</w:t>
      </w:r>
    </w:p>
    <w:p>
      <w:r>
        <w:t>Entscheid des Baudepartementes SG (Nr. 96/2020), Seite 20/26</w:t>
      </w:r>
    </w:p>
    <w:p>
      <w:r>
        <w:t>Strasse", Massstab 1:100, vom 19. November 2018) kann folgende Ansicht des umstrittenen Mehrfamilienhauses von Süden aus entnom- men werden:</w:t>
      </w:r>
    </w:p>
    <w:p>
      <w:r>
        <w:t>Entgegen der Ansicht der Vorinstanz in Erw. 4.4 der angefochtenen Baubewilligung liegt das Tiefgaragengeschoss von Süden her gese- hen zu einem erheblichen Teil frei. Damit ist es nicht als unterirdischer Bauteil zu betrachten. Daran ändert nichts, dass das Tiefgaragenge- schoss in diesem Bereich möglicherweise unterhalb des heute ge- wachsenen Terrains zu liegen käme. Tatsache ist, dass dieses abge- graben wird, wodurch das Untergeschoss teils über dem gestalteten Terrain liegt und vom M.___weg aus grossteils frei einsehbar ist. Somit liegt offenkundig keine zulässige unterirdische Baute bzw. kein zuläs- siger unterirdischer Bauteil im Sinn von Art. 31 BauO vor. Folglich wird der ordentliche Grenzabstand von 5 m zu Grundstück Nr. 003 durch das umstrittene Bauvorhaben, das nur einen Abstand von gut 1 m ein- hält, verletzt.</w:t>
      </w:r>
    </w:p>
    <w:p>
      <w:r>
        <w:rPr>
          <w:b/>
        </w:rPr>
        <w:t>E. 6.2</w:t>
      </w:r>
    </w:p>
    <w:p>
      <w:r>
        <w:t>Die Rekurrentin rügt, das Bauvorhaben verletze auch den gros- sen Grenzabstand gegen Süden. Die Vorinstanz 2 ist der Ansicht, das geplante Mehrfamilienhaus müsse Richtung Süden nicht den grossen Grenzabstand von 10 m einhalten, weil südlich des Baukörpers der M.___weg verlaufe und der Strassen- bzw. Wegabstand dem Grenz- abstand vorgehe. Beim M.___weg handle es sich um einen öffentli- chen Gemeindeweg 2. Klasse, für den weder die Bauordnung noch das Strassengesetz einen Wegabstand vorgäben; deshalb könne der einzuhaltende Abstand von der Bewilligungsbehörde einzelfallweise bestimmt werden, wobei namentlich Art. 100 StrG berücksichtigt wer- den müsse. Auch die Rekursgegner halten dafür, dass der Strassen- dem Grenzabstand vorgehe, weshalb letzterer vorliegend nicht zur An- wendung gelange.</w:t>
      </w:r>
    </w:p>
    <w:p>
      <w:r>
        <w:rPr>
          <w:b/>
        </w:rPr>
        <w:t>E. 6.2.1</w:t>
      </w:r>
    </w:p>
    <w:p>
      <w:r>
        <w:t>Nach Art. 56 Abs. 1 BauG ist der Grenzabstand von Gebäuden die kürzeste Entfernung zwischen Fassade und Grenze, wobei im "unterirdische" Tiefga- rage mit -einfahrt Grenze</w:t>
      </w:r>
    </w:p>
    <w:p>
      <w:r>
        <w:t>Entscheid des Baudepartementes SG (Nr. 96/2020), Seite 21/26</w:t>
      </w:r>
    </w:p>
    <w:p>
      <w:r>
        <w:t>Grundriss gemessen wird. Gemäss Art. 23 Abs. 2 BauO ist der grosse Grenzabstand auf die am stärksten nach Süden oder Westen gerich- tete Längsfassade, der kleine Grenzabstand auf die übrigen Gebäu- deseiten einzuhalten. Für die W2a schreibt der Anhang "Tabelle zu Art. 13" der Bauordnung einen grossen Grenzabstand von 10 m und einen kleinen Grenzabstand von 5 m vor.</w:t>
      </w:r>
    </w:p>
    <w:p>
      <w:r>
        <w:rPr>
          <w:b/>
        </w:rPr>
        <w:t>E. 6.2.2</w:t>
      </w:r>
    </w:p>
    <w:p>
      <w:r>
        <w:t>Nach Art. 101 Abs. 1 StrG ist der Strassenabstand der Mindest- abstand zur Strasse. Die Abstände werden ab Strassengrenze gemes- sen. Ist keine Strassenparzelle ausgeschieden, so wird ab Strassen- rand gemessen (Art. 107 Abs. 1 StrG). Die Bauordnung der Stadt Z.___ kennt für Bauten und Anlagen gegenüber Gemeindestrassen dritter Klasse sowie gegenüber Gemeindewegen zweiter und dritter Klasse keinen Strassen- bzw. Wegabstand. Art. 26 Abs. 3 BauO be- stimmt für den Fall, dass die Bauordnung keine Vorschriften enthält, dass sich der Strassenabstand nach den Bestimmungen von Art. 104 ff. StrG richtet. Die Vorschriften von Art. 104 ff. StrG kennen indessen für Bauten und Anlagen gegenüber Gemeindestrassen drit- ter Klasse sowie gegenüber Gemeindewegen zweiter und dritter Klasse ebenfalls keinen Strassen- oder Wegabstand. Nachdem also vorliegend weder aus der Bauordnung noch aus dem Strassengesetz ein Strassen- bzw. Wegabstand für den M.___weg ableitbar ist, fragt sich, ob deshalb die Auslegung der Vorinstanz 2 zutrifft, es gelte nun auch der Grenzabstand gemäss der Bauordnung nicht, oder jene der Rekurrentin, welche dessen Anwendung fordert.</w:t>
      </w:r>
    </w:p>
    <w:p>
      <w:r>
        <w:rPr>
          <w:b/>
        </w:rPr>
        <w:t>E. 6.2.3</w:t>
      </w:r>
    </w:p>
    <w:p>
      <w:r>
        <w:t>Das Planungs- und Baugesetz – wie früher bereits das BauG – lässt in Art. 92 und 93 PBG offen, ob Bauten gegenüber einer öffentli- chen Strasse nur den Strassenabstand oder zusätzlich auch den Grenz- und Gebäudeabstand zu wahren haben. Das Strassengesetz ist zwar als lex specialis zum Planungs- und Baugesetz (lex generalis) zu betrachten. Das allein hat indessen noch nicht zur Folge, dass der Strassenabstand in jedem Fall dem Grenzabstand vorgeht, zumal ers- terer im Strassengesetz nur für eine eingeschränkte Auswahl an Stras- sen und Wegen (subsidiär) festgelegt wird (vgl. Art. 104 Abs.1 StrG). Strassenabstandsvorschriften dienen allerdings – wie die Vorschriften über Grenz- und Gebäudeabstände gemäss Planungs- und Bauge- setz – nach der Rechtsprechung ebenfalls gesundheitspolizeilichen Zielen, indem sie ausreichende Gebäudeabstände sichern. Strassen- abstandsvorschriften einerseits, Grenz- und Gebäudeabstände ander- seits haben daher nicht völlig verschiedene Aufgaben. Vielmehr de- cken sie sich in ihrer wohnhygienischen Zielsetzung. Strassenab- standsvorschriften übernehmen die Funktion des Grenzabstands und des Gebäudeabstands für die sich über die Strasse hinweg gegen- überliegenden Bauten. Gegenüber öffentlichen Strassen finden daher nach ständiger Rechtsprechung allein die Strassenabstandsvorschrif- ten Anwendung (erstmals in: GVP 1977 Nr. 55; BDE Nr. 22/2016 vom 23. Mai 2016 Erw. 5).</w:t>
      </w:r>
    </w:p>
    <w:p>
      <w:r>
        <w:t>Entscheid des Baudepartementes SG (Nr. 96/2020), Seite 22/26</w:t>
      </w:r>
    </w:p>
    <w:p>
      <w:r>
        <w:rPr>
          <w:b/>
        </w:rPr>
        <w:t>E. 6.2.4</w:t>
      </w:r>
    </w:p>
    <w:p>
      <w:r>
        <w:t>Diese Rechtsprechung gilt indessen bislang ausschliesslich für die Strassenabstandsbestimmungen (vgl. dazu D. GMÜR, in: G. Ger- mann [Hrsg.], a.a.O., Rz. 1 zu Art 104 StrG), was auch seine Berech- tigung hat. Der beidseitig einer Strasse vorgeschriebene Strassenab- stand, der in den kommunalen Baureglementen bislang nicht unter 3 m liegt, und der durch die Breite des Strassenkörpers selbst gesi- cherte Freiraum zwischen zwei Bauten beträgt in Summe immer min- destens 9 m bis 10 m. Damit ist die wohnhygienische Zielsetzung des Strassenabstands ohne Weiteres gewährleistet und zu Recht mit jener des Grenzabstands vergleichbar. Ob diese Rechtsprechung auch auf Fälle Anwendung fände, in denen zwischen zwei Bauten keine öffent- liche Strasse, sondern nur ein öffentlicher Weg verläuft, ist bislang of- fen, muss aber bezweifelt werden, weil Wegabstandsbestimmungen in der Regel keine wohnhygienische Zielsetzung verfolgen und das aufgrund ihrer Dimensionierung (zusammen mit dem Weg selbst) auch kaum können. Abgesehen von der Frage, ob die vorgenannte Rechtsprechung zum Vorrang des Strassenabstands gegenüber dem Grenzabstand auch im Zusammenhang mit dem Wegabstand gilt, ist jedenfalls Grundvoraussetzung für die Ausserkraftsetzung der Grenz- abstandsvorschriften durch solche über den Strassenabstand, dass überhaupt Strassenabstände im Baureglement festgelegt sind.</w:t>
      </w:r>
    </w:p>
    <w:p>
      <w:r>
        <w:rPr>
          <w:b/>
        </w:rPr>
        <w:t>E. 6.2.5</w:t>
      </w:r>
    </w:p>
    <w:p>
      <w:r>
        <w:t>Wenn nun also die Politische Gemeinde Z.___ in ihrer Bauord- nung davon abgesehen hat, für Bauten und Anlagen gegenüber Ge- meindestrassen dritter Klasse sowie gegenüber Gemeindewegen zweiter und dritter Klasse einen Strassen- bzw. Wegabstand zu nor- mieren, handelt es sich dabei nicht um eine Gesetzeslücke, die durch richterliche Lückenfüllung geschlossen werden könnte. Diese Nichtre- gelung war wohl eher gewollt, hat aber unabhängig davon zur Folge, dass wegen der fehlenden strassenrechtlichen Spezialbestimmungen weiterhin jene der generellen Regelung, also die Grenzabstandsbe- stimmungen des Planungs- und Baugesetzes bzw. der Bauordnung zur Anwendung gelangen. Mit anderen Worten: Solange nichts Ande- res normiert ist, das die Grenzabstandsbestimmungen der Bauord- nung ersetzen könnte, gelten eben die Grenzabstandsbestimmungen.</w:t>
      </w:r>
    </w:p>
    <w:p>
      <w:r>
        <w:rPr>
          <w:b/>
        </w:rPr>
        <w:t>E. 6.2.6</w:t>
      </w:r>
    </w:p>
    <w:p>
      <w:r>
        <w:t>Nachdem vorliegend das Tiefgaragengeschoss nur einen Grenzabstand von 4,03 m und die darüber liegenden Geschosse ei- nen solchen von 6,5 m Richtung Süden einhalten, ist der grosse Grenzabstand von 10 m massiv unterschritten.</w:t>
      </w:r>
    </w:p>
    <w:p>
      <w:r>
        <w:rPr>
          <w:b/>
        </w:rPr>
        <w:t>E. 6.3</w:t>
      </w:r>
    </w:p>
    <w:p>
      <w:r>
        <w:t>Die Rekurrentin wendet ein, das Mehrfamilienhaus sei überdimensio- niert; es trete talseitig viergeschossig plus zusätzlichem Attikage- schoss in Erscheinung, was in der W2a unzulässig sei.</w:t>
      </w:r>
    </w:p>
    <w:p>
      <w:r>
        <w:rPr>
          <w:b/>
        </w:rPr>
        <w:t>E. 6.3.1</w:t>
      </w:r>
    </w:p>
    <w:p>
      <w:r>
        <w:t>Für die Zahl der nach Art. 13 BauO zulässigen Geschosse zäh- len nach Art. 18 Abs. 1 BauO alle Stockwerke, ausgenommen Dach-, Attika-, Sockel-, Unter- und Galeriegeschosse. Die Höhenlage des un- tersten der nach Art 13 BauO zulässigen Geschosse ist so festzule- gen, dass sich die Baute gut in das Strassen- und Siedlungsbild einfügt</w:t>
      </w:r>
    </w:p>
    <w:p>
      <w:r>
        <w:t>Entscheid des Baudepartementes SG (Nr. 96/2020), Seite 23/26</w:t>
      </w:r>
    </w:p>
    <w:p>
      <w:r>
        <w:t>(Art. 19 Abs. 1 BauO). Ergibt sich die Höhenlage nicht aus dem Stras- sen- und Siedlungsbild, so darf der Fussboden des untersten der nach Art. 13 BauO zulässigen Geschosse 1,2 m über dem Niveaupunkt lie- gen (Art. 19 Abs. 2 BauO). Dieses Mass darf an Hanglagen so weit überschritten werden, bis das unterste der nach Art 13 BauO zulässi- gen Geschosse im Ausmass der ordentlichen Gebäudetiefe über dem gewachsenen Terrain liegt (Art. 19 Abs. 3 BauO).</w:t>
      </w:r>
    </w:p>
    <w:p>
      <w:r>
        <w:rPr>
          <w:b/>
        </w:rPr>
        <w:t>E. 6.3.2</w:t>
      </w:r>
    </w:p>
    <w:p>
      <w:r>
        <w:t>Nachdem vorliegend unbestrittenermassen eine steile Hanglage besteht, hat die Vorinstanz 2 Art. 19 Abs. 3 BauO zu Recht angewen- det. Damit spielt es auch keine Rolle, dass der Niveaupunkt – dem nur nach Art. 19 Abs. 2 BauO Bedeutung zukäme – nicht richtig ermittelt worden ist. Trotzdem ist für den Fall der Überarbeitung des Bauge- suchs darauf hinzuweisen, dass der Niveaupunkt als Referenzpunkt zur Ermittlung der Gebäudehöhe stets vom Schwerpunkt jenes Teils des Gebäudevolumens bestimmt wird, der den gewachsenen Boden durchschneidet. Veränderungen am Gebäudevolumen unter- oder oberhalb dieser Schnittebene haben keinen Einfluss auf die Festle- gung des Niveaupunkts und damit auf die Gebäudehöhe (GVP 2008 Nr. 102). Aus dem Plan "Niveaupunkt gewachsenes Terrain" (Mass- stab 1:500, vom 7. November 2018) ergibt sich, dass der Niveaupunkt aufgrund des Schwerpunkts des oberhalb des Tiefgaragengeschos- ses liegenden Gebäudegrundrisses ermittelt wurde. Diese Berech- nung ist nicht korrekt. Sie verkennt, dass vorliegend auch das Tiefga- ragengeschoss Teil jenes Volumen bildet, welches den gewachsenen Boden durchschneidet. Folglich hätte auch dieses Volumen für die Er- mittlung des Niveaupunkts herangezogen werden müssen, nicht aber ausschliesslich der Grundriss der (oberirdischen) Hauptbaute. Die ho- rizontale Lage des Niveaupunkts ist unter diesen Umständen ganz of- fensichtlich nicht korrekt bestimmt worden; er läge weiter südwestlich und damit tiefer als der dem Baugesuch zugrundeliegende Niveau- punkt.</w:t>
      </w:r>
    </w:p>
    <w:p>
      <w:r>
        <w:rPr>
          <w:b/>
        </w:rPr>
        <w:t>E. 6.3.3</w:t>
      </w:r>
    </w:p>
    <w:p>
      <w:r>
        <w:t>Bezüglich des Attikageschosses ist vorliegend Art. 35 BauO ein- schlägig. Nach Art. 35 Abs. 1 zweiter Satz BauO müssen Attikage- schosse gegenüber der Längsfassade unter einer Linie von 45 ° zu- rückversetzt sein. Nach Art. 35 Abs. 2 BauO ist eine abweichende Si- tuierung zulässig, wenn eine gute Gesamtwirkung erzielt wird und keine nachbarlichen Interessen beeinträchtigt werden. Vorliegend wurde das Attikageschoss abweichend situiert. Allerdings wurde die höchstzulässige Attikageschossfläche von 148,5 m2 falsch berechnet:</w:t>
      </w:r>
    </w:p>
    <w:p>
      <w:r>
        <w:t>Entscheid des Baudepartementes SG (Nr. 96/2020), Seite 24/26</w:t>
      </w:r>
    </w:p>
    <w:p>
      <w:r>
        <w:t>Art. 35 Abs. 1 zweiter Satz BauO stellt für die Berechnung des 45 °-Winkels ausdrücklich auf die Längsfassaden ab. Als Gebäudefas- saden von Wohnbauten gelten nach dem gewöhnlichen Sprachge- brauch gemeinhin nur die tragenden, im Regelfall bis auf die Fenster- öffnungen geschlossenen und Witterungsschutz bietenden Gebäude- abschlüsse, wie die Aussenwände und das Dach, die zusätzlich auch die energetisch erforderliche Isolation nach aussen aufweisen. Der ei- gentlichen Gebäudefassade vorgelagerte Stützen sind dagegen, gleich wie offene oder geschlossene Balkone, Balkonbrüstungen, -ge- länder oder einfache, nicht thermisch relevante Balkonverglasungen, nicht als Aussenfassade zu betrachten (BDE Nr. 77/2020 vom 20. Au- gust 2020 Erw. 5.3 mit Hinweisen). Das bedeutet, dass vorliegend das Attikageschoss unter einem Winkel von 45 ° von dem in der südwest- lichen Ecke des Mehrfamilienhauses platzierten Balkon zurückversetzt sein müsste, wodurch sich die höchstzulässige Fläche des Attikage- schosses, die für eine andere Situierung genutzt werden könnte, redu- zierte. Mit der vorliegenden Fläche von 148,5 m2 liegt kein Attika-, son- dern ein Vollgeschoss vor, wodurch auch die zulässige Vollgeschoss- zahl in der W2a überschritten ist.</w:t>
      </w:r>
    </w:p>
    <w:p>
      <w:r>
        <w:rPr>
          <w:b/>
        </w:rPr>
        <w:t>E. 7</w:t>
      </w:r>
    </w:p>
    <w:p>
      <w:r>
        <w:t>Zusammenfassend ergibt sich, dass der Erlass-Beschluss der Vorinstanz 1 vom 25. September 2018 betreffend Teilstrassenplan "M.___weg" (Strassenprojekt und Klassierung) und der zugehörige Einspracheentscheid vom 19. November 2019 aufzuheben sind. Ebenso sind die angefochtene Baubewilligung und der Einspracheent- scheid der Vorinstanz 2 vom 6. Dezember 2019 aufzuheben. Der Re- kurs erweist sich damit insgesamt als begründet. Er ist im Sinn der Erwägungen gutzuheissen, soweit darauf einzutreten ist.</w:t>
      </w:r>
    </w:p>
    <w:p>
      <w:r>
        <w:rPr>
          <w:b/>
        </w:rPr>
        <w:t>E. 8.1</w:t>
      </w:r>
    </w:p>
    <w:p>
      <w:r>
        <w:t>Nach Art. 95 Abs. 1 VRP hat in Streitigkeiten jener Beteiligte die Kosten zu tragen, dessen Begehren ganz oder teilweise abgewiesen werden. Nach der Rechtsprechung des Verwaltungsgerichtes unter- scheiden sich Bauprozesse, an denen Bauherr und Baueinsprecher rot eingefärbt: höchstzuläs- sige Attikageschossfläche Balkon</w:t>
      </w:r>
    </w:p>
    <w:p>
      <w:r>
        <w:t>Entscheid des Baudepartementes SG (Nr. 96/2020), Seite 25/26</w:t>
      </w:r>
    </w:p>
    <w:p>
      <w:r>
        <w:t>mit einem direkten Interesse am Prozessausgang teilnehmen, grund- sätzlich nicht von den Verfahren vor Zivilgerichten. Die Prozesskosten werden deshalb in diesen Fällen jeweils in der Regel nicht dem Ge- meinwesen, sondern den beteiligten Privaten auferlegt (VerwGE vom 16. November 1998 i.S. E.D.). Die Höhe der Entscheidgebühr in Re- kursverfahren richtet sich nach Nr. 20.13.01 des Gebührentarifs für die Kantons- und Gemeindeverwaltung (sGS 821.5) und beträgt zwischen Fr. 200.– und Fr. 5'000.–. In ausserordentlichen Fällen können die Ge- bühren bis auf das Doppelte des Höchstansatzes festgesetzt werden. Dies insbesondere für besonders schwierige und umfangreiche Ge- schäfte (Art. 12 Abs. 1 Ziff. 1 der Verwaltungsgebührenverordnung [sGS 821.1] i.V.m. Art. 5 der Verordnung über die Bearbeitung von Rekursverfahren vor den Departementen [sGS 951.11]). Vorliegend war zwar nur ein Rekurs zu behandeln, dieser bezog sich jedoch auf zwei separate vorinstanzliche Entscheide. Die Entscheidgebühr be- trägt für das Rekursverfahren betreffend Teilstrassenplan (Strassen- projekt und Klassierung) und Baubewilligung je Fr. 2'500.–, insgesamt also Fr. 5'000.–. Dem Ausgang der Verfahren entsprechend rechtfer- tigt es sich, den Rekursgegnern, welche als Baugesuchsteller nicht nur das Baubewilligungsverfahren verursacht, sondern auch den Teil- strassenplan notwendig gemacht haben, die Entscheidgebühr unter solidarischer Haftung vollständig zu überbinden.</w:t>
      </w:r>
    </w:p>
    <w:p>
      <w:r>
        <w:rPr>
          <w:b/>
        </w:rPr>
        <w:t>E. 8.2</w:t>
      </w:r>
    </w:p>
    <w:p>
      <w:r>
        <w:t>Der von der Rekurrentin am 29. Januar 2020 geleistete Kosten- vorschuss von Fr. 1'800.– ist zurückzuerstatten.</w:t>
      </w:r>
    </w:p>
    <w:p>
      <w:r>
        <w:rPr>
          <w:b/>
        </w:rPr>
        <w:t>E. 9</w:t>
      </w:r>
    </w:p>
    <w:p>
      <w:r>
        <w:t>Rekurrentin und Rekursgegner stellen Begehren um Ersatz der aus- seramtlichen Kosten.</w:t>
      </w:r>
    </w:p>
    <w:p>
      <w:r>
        <w:rPr>
          <w:b/>
        </w:rPr>
        <w:t>E. 9.1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9.2</w:t>
      </w:r>
    </w:p>
    <w:p>
      <w:r>
        <w:t>Die Rekurrentin obsiegt mit ihren Anträgen.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abgekürzt HonO) ermessensweise auf Fr. 3'250.– festzulegen; sie ist von den Rekursgegnern zu gleichen Teilen zu bezahlen. Da kein begründeter Antrag um Zusprechung der Mehrwertsteuer gestellt wurde, wird diese aufgrund des per 1. Januar 2019 geänderten Art. 29 HonO nicht zum Honorar hinzugerechnet.</w:t>
      </w:r>
    </w:p>
    <w:p>
      <w:r>
        <w:t>Entscheid des Baudepartementes SG (Nr. 96/2020), Seite 26/26</w:t>
      </w:r>
    </w:p>
    <w:p>
      <w:r>
        <w:rPr>
          <w:b/>
        </w:rPr>
        <w:t>E. 9.3</w:t>
      </w:r>
    </w:p>
    <w:p>
      <w:r>
        <w:t>Da die Rekursgegner mit ihren Anträgen unterliegen, haben sie von vornherein keinen Anspruch auf eine ausseramtliche Entschädi- gung. Ihr Begehren ist deshalb abzuweisen. Entscheid 1.</w:t>
      </w:r>
    </w:p>
    <w:p>
      <w:r>
        <w:t>a) Der Rekurs der A.___, Y.___, wird im Sinn der Erwägungen gutgeheissen, soweit darauf eingetreten wird.</w:t>
      </w:r>
    </w:p>
    <w:p>
      <w:r>
        <w:t>b) Der Erlass-Beschluss des Stadtrates Z.___ vom 25. September 2018 betreffend Teilstrassenplan "M.___weg" (Strassenprojekt und Klassierung) und der zugehörige Einspracheentscheid vom 19. No- vember 2019 werden aufgehoben.</w:t>
      </w:r>
    </w:p>
    <w:p>
      <w:r>
        <w:t>c) Die Baubewilligung und der Einspracheentscheid der Baubewil- ligungskommission der Stadt Z.___ vom 6. Dezember 2019 werden aufgehoben.</w:t>
      </w:r>
    </w:p>
    <w:p>
      <w:r>
        <w:t>2.</w:t>
      </w:r>
    </w:p>
    <w:p>
      <w:r>
        <w:t>a) B.___, Z.___, bezahlen unter solidarischer Haftung eine Ent- scheidgebühr von insgesamt Fr. 5'000.–.</w:t>
      </w:r>
    </w:p>
    <w:p>
      <w:r>
        <w:t>b) Der am 29. Januar 2020 von der A.___ geleistete Kostenvor- schuss von Fr. 1'800.– wird zurückerstattet.</w:t>
      </w:r>
    </w:p>
    <w:p>
      <w:r>
        <w:t>3.</w:t>
      </w:r>
    </w:p>
    <w:p>
      <w:r>
        <w:t>a) Das Begehren der A.___ um Ersatz der ausseramtlichen Kosten wird gutgeheissen. B.___ entschädigen die A.___ zu gleichen Teilen ausseramtlich mit insgesamt Fr. 3'250.–.</w:t>
      </w:r>
    </w:p>
    <w:p>
      <w:r>
        <w:t>b) Das Begehren von B.___ um Ersatz der ausseramtlichen Kos- 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