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20-5182 vom 2. Mai 2022</w:t>
      </w:r>
    </w:p>
    <w:p>
      <w:r>
        <w:t>SG Gerichte, 2022-05-02, DE</w:t>
      </w:r>
    </w:p>
    <w:p>
      <w:r>
        <w:rPr>
          <w:b/>
        </w:rPr>
        <w:t xml:space="preserve">Quelle: </w:t>
      </w:r>
      <w:r>
        <w:t>https://mcp.opencaselaw.ch/entscheid/sg_publikationen_20-5182</w:t>
      </w:r>
    </w:p>
    <w:p>
      <w:r>
        <w:t>FR: SG_PUBLIKATIONEN 20-5182 du 2 mai 2022</w:t>
      </w:r>
    </w:p>
    <w:p>
      <w:r>
        <w:t>IT: SG_PUBLIKATIONEN 20-5182 del 2 maggio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Zu prüfen ist die Rekursberechtigung, nachdem die Rekursgegnerin die Einsprache- und Rekurslegitimation bestreitet.</w:t>
      </w:r>
    </w:p>
    <w:p>
      <w:r>
        <w:rPr>
          <w:b/>
        </w:rPr>
        <w:t>E. 1.2.1</w:t>
      </w:r>
    </w:p>
    <w:p>
      <w:r>
        <w:t>Nach Art. 45 Abs. 1 VRP ist zur Erhebung eines Rekurses be- rechtigt, wer an der Änderung oder Aufhebung der Verfügung oder des Entscheids ein eigenes schutzwürdiges Interesse dartut.</w:t>
      </w:r>
    </w:p>
    <w:p>
      <w:r>
        <w:t>Entscheid des Bau- und Umweltdepartementes SG (Nr. 39/2022), Seite 9/18</w:t>
      </w:r>
    </w:p>
    <w:p>
      <w:r>
        <w:rPr>
          <w:b/>
        </w:rPr>
        <w:t>E. 1.2.2</w:t>
      </w:r>
    </w:p>
    <w:p>
      <w:r>
        <w:t>Das Bundesgericht verlangt neben der formellen Beschwer, dass der Beschwerdeführende über eine spezifische Beziehungsnähe zur Streitsache verfügt und einen praktischen Nutzen aus der Aufhe- bung oder Änderung des angefochtenen Entscheids zieht. In Bausa- chen wird nach der Rechtsprechung ein praktischer Nutzen bereits dann bejaht, wenn das Durchdringen von Rügen dazu führen würde, dass das Bauvorhaben im die Beschwerdeführer belastenden Bereich nicht oder anders realisiert würde als geplant. Das schutzwürdige In- teresse besteht im Umstand, einen materiellen oder ideellen Nachteil zu vermeiden, den der angefochtene Entscheid mit sich bringen würde. Die Nähe der Beziehung zum Streitgegenstand muss bei Bau- projekten insbesondere in räumlicher Hinsicht gegeben sein. Ein schutzwürdiges Interesse liegt vor, wenn die tatsächliche oder rechtli- che Situation des Beschwerdeführers durch den Ausgang des Verfah- rens beeinflusst werden kann. Nach der bundesgerichtlichen Recht- sprechung sind Nachbarn zur Beschwerdeführung gegen ein Bauvor- haben legitimiert, wenn sie mit Sicherheit oder zumindest grosser Wahrscheinlichkeit durch Immissionen (Lärm, Staub, Erschütterun- gen, Licht oder andere Einwirkungen) betroffen werden, die der Bau oder Betrieb der fraglichen Anlage hervorruft. Als wichtiges Kriterium zur Beurteilung der Betroffenheit dient in der Praxis die räumliche Dis- tanz zum Bauvorhaben. Die Rechtsprechung bejaht in der Regel die Legitimation von Nachbarn, deren Liegenschaften sich in einem Um- kreis von bis zu rund 100 m befinden. Bei grösseren Entfernungen muss eine Beeinträchtigung aufgrund der konkreten Gegebenheiten glaubhaft gemacht werden. Allerdings wurde stets betont, dass nicht schematisch auf einzelne Kriterien (insbesondere Distanzwerte) abge- stellt werden dürfe, sondern eine Gesamtwürdigung anhand der kon- kreten Verhältnisse erforderlich sei. In Grenzfällen besteht ein Beurtei- lungsspielraum, bei dessen Ausübung einerseits eine kaum mehr zu begrenzende Öffnung des Beschwerderechts zu vermeiden ist und an- dererseits die Schranken auch nicht zu eng gezogen werden dürfen, um nicht die vom Gesetzgeber gewollte Überprüfung der richtigen Rechtsanwendung in Fällen, in denen der Beschwerdeführer ein aktu- elles und schützenswertes Interesse besitzt, auszuschliessen (vgl. BGE 136 II 281 Erw. 2.3.2 mit Hinweis; Urteil des Bundesgerichtes 1C_11/2021 vom 15. Dezember 2021 Erw. 1.5 mit Hinweisen, 1C_286/2020 vom 15. Dezember 2020 Erw. 2.4, 1C_313/2019 vom 28. April 2020 Erw. 2.3, 1C_25/2019 vom 5. März 2020 Erw. 3.1; BDE Nr. 60/2020 vom 10. Juli 2020 Erw. 1.2.1).</w:t>
      </w:r>
    </w:p>
    <w:p>
      <w:r>
        <w:rPr>
          <w:b/>
        </w:rPr>
        <w:t>E. 1.2.3</w:t>
      </w:r>
    </w:p>
    <w:p>
      <w:r>
        <w:t>Die besondere Betroffenheit der Rekurrentinnen und Rekurren- ten 2, 3, 5, 6, 7 und 8 muss nicht näher begründet werden, weil diese aufgrund der Distanz von unter 100 m grundsätzlich und unabhängig von den einzelnen Rügen gegeben ist. Die Grundstücke Nrn. 1430 (Rekurrenten 1) und 4172 (Rekurrenten 4) liegen rund 150 m bzw. 115 m vom Bauvorhaben entfernt. Für die Rekurrenten 1 und 4 muss daher eine konkrete Beeinträchtigung dargelegt werden. Die beiden Grundstücke liegen im nördlich an das Baugrundstück angrenzenden</w:t>
      </w:r>
    </w:p>
    <w:p>
      <w:r>
        <w:t>Entscheid des Bau- und Umweltdepartementes SG (Nr. 39/2022), Seite 10/18</w:t>
      </w:r>
    </w:p>
    <w:p>
      <w:r>
        <w:t>Wohnquartier an der G.___strasse, welche weiter nördlich in die über- geordnete K.___strasse und diese wiederum in die J.___strasse (Kan- tonsstrasse) mündet.</w:t>
      </w:r>
    </w:p>
    <w:p>
      <w:r>
        <w:rPr>
          <w:b/>
        </w:rPr>
        <w:t>E. 1.2.4</w:t>
      </w:r>
    </w:p>
    <w:p>
      <w:r>
        <w:t>Die Rekursgegnerin macht geltend, dass die Rekurrentinnen und Rekurrenten weder von der Erschliessung des Baugrundstücks noch von den Emissionen der Erschliessung betroffen seien, weil der Teil der G.___strasse, der ihre Liegenschaften erschliesse, für die Zu- fahrt zum Baugrundstück nicht benützt werden dürfe. Dabei verkennt die Rekursgegnerin, dass diese Verkehrsanordnung noch gar nicht in Kraft ist, sondern erst im Erschliessungskonzept vorgesehen ist. Zum jetzigen Zeitpunkt kann der Verkehr von und zum Baugrundstück nach wie vor von Norden von der J.___strasse über die K.___- und G.___strasse abgewickelt werden. Damit sind auch die Rekurrenten 1 und 4 mehr als die Allgemeinheit betroffen, da die Strassenverbindung nordwärts den schnellsten Zugang zur übergeordneten K.___- bzw. J.___strasse gewährt. Die Rekursberechtigung ist daher für alle Re- kurrentinnen und Rekurrenten gegeben (Art. 45 VRP). Auf den Rekurs ist einzutreten.</w:t>
      </w:r>
    </w:p>
    <w:p>
      <w:r>
        <w:rPr>
          <w:b/>
        </w:rPr>
        <w:t>E. 2</w:t>
      </w:r>
    </w:p>
    <w:p>
      <w:r>
        <w:t>Am 1. Oktober 2017 ist das Planungs- und Baugesetz (sGS 731.1; ab- gekürzt PBG) in Kraft getreten und das Baugesetz vom 6. Juni 1972 (nGS 8, 134; abgekürzt BauG) aufgehoben worden (Art. 172 Bst. a PBG). Der erstinstanzliche Einsprache- und Baubewilligungsent- scheid erging am 8. Juni 2020.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Subeventualiter beantragt die Rekursgegnerin die Sistierung des Re- kursverfahrens, bis das Strassenplanverfahren für den Ausbau der Er- schliessungsstrasse abgeschlossen und bis die Grenzabstandsver- einbarung der Eigentümer der Grundstücke Nrn. 001 und 002 durch eine Vereinbarung zur Einhaltung eines vergrösserten Grenzabstands auf Grundstück Nr. 002 ergänzt worden sei.</w:t>
      </w:r>
    </w:p>
    <w:p>
      <w:r>
        <w:rPr>
          <w:b/>
        </w:rPr>
        <w:t>E. 3.1</w:t>
      </w:r>
    </w:p>
    <w:p>
      <w:r>
        <w:t>Die Sistierung bedeutet eine Abweichung vom Grundsatz einer möglichst beförderlichen Erledigung des Verfahrens und bedarf daher einer Rechtfertigung. Eine Sistierung ist anzuordnen, wenn sie gesetz- lich vorgeschrieben oder wenn ein anderes Verfahren anhängig ist, dessen Ausgang von präjudizieller Bedeutung ist. Zulässig ist die Ver- fahrenssistierung ausserdem, wenn sie aus gewichtigen Gründen ge- boten erscheint und ihr keine überwiegenden öffentlichen oder priva- ten Interessen entgegenstehen (CAVELTI/VÖGELI, Verwaltungsge- richtsbarkeit im Kanton St.Gallen, 2. Aufl., St.Gallen 2003, N 1093).</w:t>
      </w:r>
    </w:p>
    <w:p>
      <w:r>
        <w:t>Entscheid des Bau- und Umweltdepartementes SG (Nr. 39/2022), Seite 11/18</w:t>
      </w:r>
    </w:p>
    <w:p>
      <w:r>
        <w:rPr>
          <w:b/>
        </w:rPr>
        <w:t>E. 3.2</w:t>
      </w:r>
    </w:p>
    <w:p>
      <w:r>
        <w:t>Eine Sistierung ist somit u.a. dann begründet, wenn das Ergeb- nis des Verfahrens von jenem eines anderen Verfahrens abhängt oder wenn ein enger sachlicher Zusammenhang zu einem anderen Verfah- ren besteht. Im vorliegend zu beurteilenden Rekurs sind – neben der hinreichenden Erschliessung – noch weitere Rechtsfragen zu beant- worten. Es besteht zwar ein enger sachlicher Zusammenhang zwi- schen einem noch auszuarbeitenden Strassenbauprojekt samt Teil- strassenplan mit dem zu beurteilenden Rekurs. Eine Sistierung ist gleichwohl nicht gerechtfertigt, weil zu diesem Zeitpunkt erst ein Er- schliessungskonzept vorliegt und noch nicht absehbar ist, wann ein genehmigungsfähiges Strassenbauprojekt samt Teilstrassenplan vor- liegt und – wie die folgenden Erwägungen zeigen werden – die ange- fochtene Baubewilligung mit weiteren Mängeln behaftet ist. Deshalb erübrigt sich ebenso eine Sistierung, um eine erweiterte Grenzab- standsvereinbarung nachzureichen. Das Begehren um Sistierung ist deshalb abzuweisen.</w:t>
      </w:r>
    </w:p>
    <w:p>
      <w:r>
        <w:rPr>
          <w:b/>
        </w:rPr>
        <w:t>E. 4</w:t>
      </w:r>
    </w:p>
    <w:p>
      <w:r>
        <w:t>Die Rekurrentinnen und Rekurrenten machen geltend, dass die ge- plante Überbauung nicht direkt auf die Grenze zur Landwirtschafts- zone gestellt werden dürfe.</w:t>
      </w:r>
    </w:p>
    <w:p>
      <w:r>
        <w:rPr>
          <w:b/>
        </w:rPr>
        <w:t>E. 4.1</w:t>
      </w:r>
    </w:p>
    <w:p>
      <w:r>
        <w:t>Die Baufreiheit als Teil der Eigentumsgarantie (Art. 26 der Bun- desverfassung, SR 101; abgekürzt BV) schützt das Recht der Nutzung eines Grundstücks durch Überbauung. Beschränkungen dieses Nut- zungsrechts müssen als Grundrechtseingriffe die Voraussetzungen von Art. 36 BV erfüllen, d.h. auf einer ausreichenden gesetzlichen Grundlage beruhen, im öffentlichen Interesse liegen und verhältnis- mässig sein sowie die Kerngehaltsgarantie wahren. Während schwer- wiegende Einschränkungen im formellen Gesetz selbst vorgesehen sein müssen (vgl. Art. 36 Abs. 1 zweiter Satz BV), genügt für leichte Eingriffe eine Grundlage im Verordnungsrecht. Ein schwerer Eingriff liegt nach der bundesgerichtlichen Rechtsprechung namentlich dann vor, wenn die bisherige oder künftig mögliche, bestimmungsgemässe Nutzung eines Grundstücks durch Verbote oder Gebote verunmöglicht oder stark erschwert wird (BGE 133 II 220 Erw. 2.5 mit Hinweisen). Die Baufreiheit erlaubt die uneingeschränkte bauliche Nutzung eines Grundstücks und damit auch deren Überbauung bis zur Grundstücks- grenze. Die Verpflichtung, für Bauten und Anlagen einen minimalen Abstand zur Zonengrenze einzuhalten, stellt mithin einen Eingriff in die Eigentumsgarantie dar, der allerdings in der Regel die bestimmungs- gemässe Nutzung der Liegenschaft nicht stark erschwert. Ist in diesem Sinn lediglich die geplante Baute innerhalb des Grundstücks anders anzuordnen, handelt es sich nur um einen leichten Eingriff in die Ei- gentumsgarantie, für den eine Grundlage im Verordnungsrecht genü- gen würde. Anders kann es sich verhalten, wenn die Abstandsrege- lung die Benutzung des Grundstücks stärker einschränkt, etwa wenn dadurch konkret das Ausschöpfen der Nutzungsziffer verunmöglicht wird. Diesfalls ist eine Grundlage im formellen Gesetz erforderlich (Ur- teil des Bundesgerichtes 1C_668/2017 vom 31. Oktober 2018 Erw. 4.2).</w:t>
      </w:r>
    </w:p>
    <w:p>
      <w:r>
        <w:t>Entscheid des Bau- und Umweltdepartementes SG (Nr. 39/2022), Seite 12/18</w:t>
      </w:r>
    </w:p>
    <w:p>
      <w:r>
        <w:rPr>
          <w:b/>
        </w:rPr>
        <w:t>E. 4.2</w:t>
      </w:r>
    </w:p>
    <w:p>
      <w:r>
        <w:t>Das BauG (und auch das PBG) kennt lediglich den Grenzab- stand von Gebäuden (Art. 56 BauG). Dieser misst die im Grundriss gemessene, kürzeste Entfernung zwischen Fassade und Grenze (Art. 56 Abs. 1 BauG). Beim Grenzabstand handelt sich um einen Ab- stand zur Grundstücksgrenze. Abstandsvorschriften zur Zonen- grenze – die nicht zugleich eine Grundstücksgrenze ist – kennt das kantonale Recht nicht. Dass Grundeigentümer zivilrechtlich einen (Grundstücks-)Grenzabstand vereinbaren dürfen, der unter Umstän- den von den bau- und planungsrechtlichen Vorgaben des öffentlichen Rechts abweicht, sagt nichts Verbindliches aus zur hier strittigen Frage, ob Bauten in der Bauzone einen Abstand zur Grenze zur Land- wirtschaftszone einzuhalten haben. Daran ändert nichts, dass hier die Grundstücks- mit der Zonengrenze zusammenfällt. Für die Zulässig- keit eines Bauprojekts kommt es entscheidend auf dessen Zonenkon- formität an. Bei Bauten, die direkt oder ganz nahe an die Grenze zu einer anderen Zone gestellt werden sollen, erfordert die Prüfung der Zonenkonformität stets auch den Einbezug ihrer Auswirkungen auf die Umgebung. Nichtlandwirtschaftliche Bauten dürfen in Nachachtung der Grundsätze des Bundesgesetzes über die Raumplanung (SR 700; abgekürzt RPG) und BauG nicht unbesehen auf die Grenze zur Land- wirtschaftszone gestellt werden. Sind nach der allgemeinen Lebenser- fahrung keine oder nur unbedeutende Auswirkungen auf die benach- barte Zone zu erwarten, genügt es, wenn das Vorhaben dem Zweck der Zone entspricht, in die es zu liegen kommt. Sind dagegen von einer Baute auf oder ganz nahe an der Grenze Auswirkungen auf eine Nach- barzone wahrscheinlich, hat die Baubehörde die Konformität auch mit der benachbarten Zone zu prüfen. Denn in diesem Fall beschränkt sich das Bauvorhaben nach der gebotenen auswirkungsbezogenen Be- trachtung nicht auf die Zone, in der das Gebäude selber steht, sondern es liegt ein grenzüberschreitendes Vorhaben vor, das sich ebenfalls auf die Nachbarzone erstreckt. Es lässt sich nur aufgrund der Um- stände des Einzelfalls beurteilen, ob und in welchem Umfang eine Überbauung von in der Bauzone gelegenem Land zugleich angren- zendes Landwirtschaftsland mitbeansprucht. Ohne weiteres zu beja- hen ist dies bei Bauteilen, die wie Vordächer oder Balkone über die Zonengrenze hinausragen. Dasselbe gilt jedoch auch für Zirkulations- und Erholungsflächen oder für zur Wohnbaute gehörende Vorgärten. Mitzuberücksichtigen ist sodann, in welchem Ausmass die Auswirkun- gen einer Überbauung in der Bauzone die Nutzung des landwirtschaft- lichen Kulturlands beeinträchtigen. Dabei sind insbesondere die Art der landwirtschaftlichen Nutzung, aber auch die topografischen Ver- hältnisse in Betracht zu ziehen. Die einzelfallweise Beurteilung ermög- licht es, zwischen den entgegengesetzten Interessen an der Erhaltung geeigneten Kulturlands für die Landwirtschaft (Art. 3 Abs. 2 Bst. a RPG) und der durch die Eigentumsgarantie (Art. 26 BV) geschützten baulichen Nutzungsmöglichkeiten einen angemessenen Ausgleich zu finden.</w:t>
      </w:r>
    </w:p>
    <w:p>
      <w:r>
        <w:rPr>
          <w:b/>
        </w:rPr>
        <w:t>E. 4.3</w:t>
      </w:r>
    </w:p>
    <w:p>
      <w:r>
        <w:t>Die Vorinstanz führt in ihrer Vernehmlassung zwar aus, dass die landwirtschaftliche Bewirtschaftung durch den Neubau "nicht nen- nenswert beeinträchtigt" werde. Wie die Vorinstanz zu diesem Schluss</w:t>
      </w:r>
    </w:p>
    <w:p>
      <w:r>
        <w:t>Entscheid des Bau- und Umweltdepartementes SG (Nr. 39/2022), Seite 13/18</w:t>
      </w:r>
    </w:p>
    <w:p>
      <w:r>
        <w:t>gekommen ist, wird nicht näher begründet. Allein der Umstand, dass die Ostfassade weder Türen noch Fenster aufweist und die Eigentü- merin von Grundstück Nr. 002 ein Grenzbaurecht unterzeichnet hat, bedeutet nicht, dass die Baute keine "nennenswerten" Auswirkungen auf das Grundstück haben wird, zumal sie das Grundstück nicht (mehr) selber bewirtschaftet, sondern an die Rekursgegnerin verpach- tet hat.</w:t>
      </w:r>
    </w:p>
    <w:p>
      <w:r>
        <w:rPr>
          <w:b/>
        </w:rPr>
        <w:t>E. 4.4</w:t>
      </w:r>
    </w:p>
    <w:p>
      <w:r>
        <w:t>Die Errichtung grösserer Bauten wie beispielsweise von Wohn- häusern direkt oder ganz nahe an der Grenze zur Landwirtschaftszone dürfte meistens zu einer Inanspruchnahme des angrenzenden land- wirtschaftlichen Kulturlands führen. Solche aufgrund ihrer Auswirkun- gen in die Landwirtschaftszone ragenden Überbauungen sind man- gels Zonenkonformität nicht zulässig, soweit sie nicht einem landwirt- schaftlichen Zweck dienen oder dafür keine Ausnahmebewilligung nach Art. 24 f. RPG erteilt werden kann. Anders verhalten mag es sich bei kleineren Bauten wie einfachen Nebenbauten, Zäunen und Gat- tern, die keine nennenswerten Auswirkungen auf das angrenzende Landwirtschaftsland haben (Urteil des Bundesgerichtes 1C_668/2017 vom 31. Oktober 2018 Erw. 5.1 und 6.2 ff.).</w:t>
      </w:r>
    </w:p>
    <w:p>
      <w:r>
        <w:rPr>
          <w:b/>
        </w:rPr>
        <w:t>E. 4.5</w:t>
      </w:r>
    </w:p>
    <w:p>
      <w:r>
        <w:t>Auch gemäss Kommentar von Arnold Marti (in: ZBl 3/2019 S. 164) zum obgenannten Urteil des Bundesgerichtes schränkt bereits die Erstellung einer Wohnbaute unmittelbar an der Grenze zur Land- wirtschaftszone die für diese Zone vorgesehene landwirtschaftliche Nutzung ein und beeinträchtigt bzw. schliesst diese im Randbereich teilweise sogar aus. Aufgrund dieser bundesgerichtlichen Rechtspre- chung ergibt sich, dass die westlich angrenzende 40 m lange und rund 10 m hohe Gewerbebaute, die auf die Zonengrenze zur Landwirt- schaftszone, die zudem als Fruchtfolgefläche – die wertvollste Land- wirtschaftsfläche in der Schweiz überhaupt – ausgeschieden ist, erst recht Auswirkungen auf das Agrarland haben wird. Bereits während der Bauphase für den Aushub und Gerüstbau muss davon ausgegan- gen werden, dass für die Erstellung der Baute das Agrarland mitbean- sprucht wird. Auch ein Fassadenspritzschutz käme vollständig in die Landwirtschaftszone zu stehen. Obwohl die Ostfassade weder Türen noch Fenster oder Vordächer aufweist, ist davon auszugehen, dass sich bereits schon die blosse Existenz der 40 m langen Fassade auf die aktuelle und potenzielle Nutzung des angrenzenden Agrarlands auswirkt, da sie geeignet ist, eine landwirtschaftliche Bewirtschaftung im Randbereich zu erschweren bzw. zu verunmöglichen (vgl. BEZ 2021 Nr. 7, S. 35 mit Hinweisen). Das Baugrundstück sowie das angrenzende Agrarland sind vollkommen eben; die Beschattung würde ausschliesslich von der geplanten Baute verursacht. Erschwe- rend kommt hinzu, dass sich die geplante Baute im Westen des Ag- rarlands befindet und sich daher betreffend Beschattung umso mass- geblicher auf die Kulturen auswirkt.</w:t>
      </w:r>
    </w:p>
    <w:p>
      <w:r>
        <w:rPr>
          <w:b/>
        </w:rPr>
        <w:t>E. 4.6</w:t>
      </w:r>
    </w:p>
    <w:p>
      <w:r>
        <w:t>Damit ergibt sich, dass die geplante Gewerbebaute nicht auf der Zonengrenze erstellt werden darf und daher an diesem Standort nicht</w:t>
      </w:r>
    </w:p>
    <w:p>
      <w:r>
        <w:t>Entscheid des Bau- und Umweltdepartementes SG (Nr. 39/2022), Seite 14/18</w:t>
      </w:r>
    </w:p>
    <w:p>
      <w:r>
        <w:t>bewilligungsfähig ist. Weil die geplante Gewerbebaute in der Landwirt- schaftszone nicht zonenkonform ist, ist sie so weit von der Grenze zu- rückzuversetzen, dass ihre Erstellung sowie ihr Bestehen auf die Landwirtschaftszone keine nennenswerten Auswirkungen mehr ha- ben. Der Rekursgegnerin und der Vorinstanz obliegt es nun, abzuklä- ren, welche Auswirkungen ein etwaiger Zonengrenzabstand auf die verbleibenden Nutzungsmöglichkeiten des Baugrundstücks haben würde und ob sich im Rahmen des Baubewilligungsverfahrens das Bauprojekt allenfalls anpassen liesse, um den Anforderungen des Schutzes des benachbarten Agrarlands angemessen Rechnung zu tragen (vgl. Urteil des Bundesgerichtes 1C_668/2017 vom 31. Oktober 2018 Erw. 6.5).</w:t>
      </w:r>
    </w:p>
    <w:p>
      <w:r>
        <w:rPr>
          <w:b/>
        </w:rPr>
        <w:t>E. 4.7</w:t>
      </w:r>
    </w:p>
    <w:p>
      <w:r>
        <w:t>Im Übrigen ist darauf hinzuweisen, dass ein vereinbartes Näher- baurecht nicht genügt, um eine Baute auf der Grenze zu bewilligen. Es braucht eine erweiterte Grenzabstandsvereinbarung, in der sich die Eigentümerin oder der Eigentümer des benachbarten Grundstücks schriftlich zur Einhaltung eines entsprechend grösseren Grenzab- stands verpflichtet, damit ein Baugesuch bewilligt werden kann, da an- sonsten die baureglementarischen Grenzabstände nicht gewahrt sind (Baudepartement SG, Juristische Mitteilungen 2012/I/2). Die Baube- hörde verfügt diese Verpflichtung als öffentlich-rechtliche Eigentums- beschränkung und lässt sie im Grundbuch anmerken (Art. 56 Abs. 2 BauG).</w:t>
      </w:r>
    </w:p>
    <w:p>
      <w:r>
        <w:rPr>
          <w:b/>
        </w:rPr>
        <w:t>E. 5</w:t>
      </w:r>
    </w:p>
    <w:p>
      <w:r>
        <w:t>Die Rekurrentinnen und Rekurrenten beanstanden in materieller Hin- sicht zudem die unzureichende Erschliessung des Baugrundstücks Nr. 001. Sie rügen, die ungenügende strassenmässige Erschliessung stelle kein Bauhindernis von untergeordneter Bedeutung dar, welches mit einer Auflage beseitigt werden könne. Es sei ein Strassenprojekt erforderlich, das in einem koordinierten Verfahren mit dem Baugesuch aufzulegen sei. Die Baubewilligung sei deshalb schon allein aus die- sem Grund aufzuheben.</w:t>
      </w:r>
    </w:p>
    <w:p>
      <w:r>
        <w:rPr>
          <w:b/>
        </w:rPr>
        <w:t>E. 5.1</w:t>
      </w:r>
    </w:p>
    <w:p>
      <w:r>
        <w:t>Nach Art. 22 Abs. 2 Bst. b RPG dürfen Baubewilligungen nur er- teilt werden, wenn das Land im Sinn von Art. 19 Abs. 1 RPG erschlos- sen ist. Der Begriff der hinreichenden Erschliessung ist insoweit ein bundesrechtlicher, wobei das Bundesrecht nur allgemeine Grundsätze enthält. Als Erschliessung wird die Gesamtheit aller Einrichtungen ver- standen, die notwendig sind, damit ein Grundstück zonen- und bau- ordnungsgerecht genutzt werden kann. Die Anforderungen an die Er- schliessung im Detail – und damit, was unter hinreichend zu verstehen ist – ergeben sich sodann aus dem kantonalen Recht (M. NEFF, in: Bereuter/Frei/Ritter [Hrsg.], Kommentar zum Planungs- und Bauge- setz des Kantons St.Gallen, Basel 2020, Art. 67 N 3). Nach Art. 67 Bst. a PBG ist Land erschlossen, wenn eine hinreichende Zu- und Wegfahrt besteht. Diese Bestimmung des PBG ist unmittelbar an- wendbar und bedarf keiner Umsetzung im kommunalen Recht (vgl. Anhang zum Kreisschreiben Bst. B.I). Art. 67 Bst. a PBG entspricht in-</w:t>
      </w:r>
    </w:p>
    <w:p>
      <w:r>
        <w:t>Entscheid des Bau- und Umweltdepartementes SG (Nr. 39/2022), Seite 15/18</w:t>
      </w:r>
    </w:p>
    <w:p>
      <w:r>
        <w:t>haltlich Art. 49 Abs. 2 Bst. a BauG. Damit kann für die Frage der hin- reichenden strassenmässigen Erschliessung auf die Rechtsprechung zum BauG abgestellt werden. Eine Zufahrt ist dann hinreichend, wenn sie tatsächlich so beschaffen ist, dass sie bau- und verkehrstechnisch der bestehenden und geplanten Überbauung genügt, den zu erwar- tenden Fahrzeugen und Fussgängern (als Benützer der Bauten und Anlagen) einen sicheren Weg bietet, und von den öffentlichen Diens- ten (namentlich Feuerwehr, Sanität, Kehrichtabfuhr, Schneeräumung usw.) ungehindert genutzt werden kann (NEFF, a.a.O., Art. 67 N 12 mit Hinweisen, BDE Nr. 2/2021 vom 11. Januar 2021 Erw. 6.2.1).</w:t>
      </w:r>
    </w:p>
    <w:p>
      <w:r>
        <w:rPr>
          <w:b/>
        </w:rPr>
        <w:t>E. 5.2</w:t>
      </w:r>
    </w:p>
    <w:p>
      <w:r>
        <w:t>Erfüllt ein Baugesuch die gesetzlichen Anforderungen nicht, ist grundsätzlich die Baubewilligung zu verweigern. Durch Nebenbestim- mungen wie Auflagen können lediglich untergeordnete Mängel eines Baugesuchs behoben werden. Die Möglichkeit, die Bewilligung mit ge- botenen Nebenbestimmungen (Auflagen, Bedingungen, Befristungen) zu verknüpfen, entfällt, wenn die Mängel eine wesentliche Projektän- derung bzw. eine konzeptionelle Überarbeitung des Projekts erfor- dern. Die Anordnung von Nebenbestimmungen kommt mit anderen Worten nicht in Betracht, wenn ohne grösseren planerischen Aufwand nicht beurteilbar ist, wie die Mängel zu beheben sind und welche bau- rechtlichen, konzeptionellen und gestalterischen Auswirkungen dies nach sich zieht. Es geht beispielsweise nicht an, einen Bau zu bewilli- gen mit der Auflage, die fehlende Erschliessung müsse vor Baubeginn geregelt sein. Dies folgt aus dem Grundsatz der Einheit des Bauent- scheids, mit dem eine einheitliche Beurteilung eines baurechtlichen Sachverhalts sichergestellt werden soll. Das bundesrechtliche Koordi- nationsgebot von Art. 25a RPG verlangt, dass ein geplantes Bauvor- haben in einem einzigen und einheitlichen Bewilligungsverfahren ge- prüft wird. Nachgelagerte Verfahren sind nur dann zulässig, wenn dies von der Sache her sinnvoll ist und sich daraus keine wesentlichen neuen Auswirkungen oder Änderungen für das Projekt ergeben oder ergeben können (Urteil des Bundesgerichtes 1C_615/2017 vom 12. Oktober 2018 Erw. 2.5 mit Hinweisen; VerwGE B 2014/100 vom 27. April 2016 Erw. 7.1; BDE Nr. 29/2021 vom 8. April 2021 Erw. 4.1).</w:t>
      </w:r>
    </w:p>
    <w:p>
      <w:r>
        <w:rPr>
          <w:b/>
        </w:rPr>
        <w:t>E. 5.3</w:t>
      </w:r>
    </w:p>
    <w:p>
      <w:r>
        <w:t>Die Vorinstanz führt im angefochtenen Beschluss aus, dass be- züglich Ausführung und Ausbau der Erschliessung über die G.___strasse im vorliegenden Fall Optimierungspotenzial vorhanden sei, und erarbeitete in diesem Zusammenhang ein Erschliessungskon- zept. Dieses sieht eine Verbreiterung der G.___strasse ab H.___strasse bis Zufahrt zum Baugrundstück auf durchgehend min- destens 4,5 m (Begegnungsfall PW / PW) vor. Ab der Hälfte der Stre- cke bis zur Zufahrt zum Baugrundstück ist eine Ausweichstelle mit ei- ner Breite von mindestens 5,3 m (Begegnungsfall LKW / PW) geplant sowie die Verschiebung der Fahrverbotstafel, damit die Zufahrt zum Baugrundstück nur noch von Süden her über die H.___strasse mög- lich ist. Aus diesem Grund wurde die Baubewilligung mit der speziellen Auflage verbunden, dass das erarbeitete Erschliessungskonzept (Ver- breiterung/Ausweichstelle/Anpassung Fahrverbot) zwingend umzu- setzen sei. Nach rechtskräftiger Baubewilligung werde das Konzept</w:t>
      </w:r>
    </w:p>
    <w:p>
      <w:r>
        <w:t>Entscheid des Bau- und Umweltdepartementes SG (Nr. 39/2022), Seite 16/18</w:t>
      </w:r>
    </w:p>
    <w:p>
      <w:r>
        <w:t>durch die Gemeinde öffentlich aufgelegt und dem Kanton zur Geneh- migung eingereicht. Die Vorinstanz verkennt somit, dass es sich bei der hinreichenden Erschliessung, welche vorliegend eine Verbreite- rung der G.___strasse von 3,9 m auf mindestens 4,5 m auf einer Länge von rund 130 m, der Erstellung einer Ausweichstelle sowie Neusignalisationen bedingt, nicht um ein untergeordnetes Bauhinder- nis handelt, welches mit einer Auflage beseitigt werden kann, sondern um eine Grundvoraussetzung, die für die Bewilligungsfähigkeit eines Bauvorhabens von ausschlaggebender Bedeutung ist. Daher ist der vorliegende Sachverhalt auch nicht mit demjenigen im Urteil des Bun- desgerichtes 1C_57/2021 vom 3. Februar 2022 und vor allem nicht mit demjenigen im Urteil des Bundesgerichtes 1C_271/2011 vom 27. Sep- tember 2011 vergleichbar, in welchen ein fehlendes bzw. unklares Fuss- und Fahrwegrecht als untergeordnetes Bauhindernis erachtet wurde, und das Bundesgericht es daher als zulässig erachtete, eine Baubewilligung mit der Bedingung zu versehen, wonach die Baubewil- ligung erst mit der Sicherstellung der strassenmässigen Erschliessung rechtswirksam wird.</w:t>
      </w:r>
    </w:p>
    <w:p>
      <w:r>
        <w:rPr>
          <w:b/>
        </w:rPr>
        <w:t>E. 6</w:t>
      </w:r>
    </w:p>
    <w:p>
      <w:r>
        <w:t>Obwohl die Baubewilligung bereits aufgrund der vorstehenden Erwä- gungen aufzuheben ist, erscheint es aus verfahrensökonomischen Gründen angezeigt, auf Folgendes kurz hinzuweisen.</w:t>
      </w:r>
    </w:p>
    <w:p>
      <w:r>
        <w:rPr>
          <w:b/>
        </w:rPr>
        <w:t>E. 6.1</w:t>
      </w:r>
    </w:p>
    <w:p>
      <w:r>
        <w:t>Im Amtsbericht des TBA wird ausgeführt, dass für die G.___strasse mindestens eine Fahrbahnbreite von 4,4 m für den Grundbegegnungsfall PW / PW bei stark reduzierter Geschwindigkeit nötig sei. Für den Begegnungsfall LKW / PW werde eine Mindestbreite von 5,3 m gebraucht, die vom vorgesehenen punktuellen Ausbau der Strasse (Ausweichstelle) erfüllt werde. Anlässlich des Augenscheins führte das TBA weiter aus, dass die Ausweichstelle gemäss Erschlies- sungskonzept nördlich von Grundstück Nr. 002 auf der Südseite der G.___strasse falsch positioniert sei. Sie sei – von der H.___strasse herkommend – nicht sichtbar. Daher sei sie nahe zur Kreuzung G.___strasse / H.___strasse zu planen und zwar auf der Nordseite der G.___strasse. Um die Sichtzone zu gewährleisten müsse ohnehin auf Grundstück Nr. 013 ein Spickel in der Innenkurve der Kreuzung frei- gehalten werden. Gestützt Art. 16 Abs. 2, Art. 100 Abs. 1 und Abs. 2 Ingress und Bst. a sowie Art. 101 Abs. 2 in Verbindung mit Art. 102 Abs. 1 Ingress und Bst. d des Strassengesetzes (sGS 732.1) kann als Fazit gesagt werden, dass die G.___strasse mit den geplanten Mass- nahmen des Erschliessungskonzepts wohl den Grundbegegnungsfall PW / PW abdeckt, die Ausweichstelle zwar richtig dimensioniert, aber falsch positioniert ist.</w:t>
      </w:r>
    </w:p>
    <w:p>
      <w:r>
        <w:rPr>
          <w:b/>
        </w:rPr>
        <w:t>E. 6.2</w:t>
      </w:r>
    </w:p>
    <w:p>
      <w:r>
        <w:t>Eine verkehrstechnisch hinreichende Zufahrt im Sinn von Art. 19 Abs. 1 RPG und Art. 67 Bst. a PBG setzt auch den Erlass von Sicht- zonen voraus. Nachdem mit dem auf der Basis des Erschliessungs- konzepts noch zu erlassenden Strassenbauprojekt eine solche hinrei- chende Erschliessung sichergestellt werden soll, wären gleichzeitig die für die Verkehrssicherheit notwendigen Sichtzonen in dem noch zu</w:t>
      </w:r>
    </w:p>
    <w:p>
      <w:r>
        <w:t>Entscheid des Bau- und Umweltdepartementes SG (Nr. 39/2022), Seite 17/18</w:t>
      </w:r>
    </w:p>
    <w:p>
      <w:r>
        <w:t>erlassenden Teilstrassenplan (Sondernutzungsplan) festzulegen (VerwGE B 2019/244 vom 3. Mai 2020 Erw. 5.2). Vorliegend sind – in Übereinstimmung mit dem Amtsbericht des TBA – (nebst dem Bau- grundstück) zumindest beim Knoten G.___strasse / H.___strasse Sichtzonen erforderlich. Für die Genehmigungsfähigkeit des Strassen- bauprojekts ist es sicher förderlich, diese Hinweise des TBA zu be- rücksichtigen.</w:t>
      </w:r>
    </w:p>
    <w:p>
      <w:r>
        <w:rPr>
          <w:b/>
        </w:rPr>
        <w:t>E. 7</w:t>
      </w:r>
    </w:p>
    <w:p>
      <w:r>
        <w:t>Zusammenfassend ergibt sich, dass die geplante Gewerbebaute auf der Zonengrenze nicht bewilligungsfähig ist. Zudem kann eine feh- lende hinreichende Erschliessung nicht mittels einer Auflage sicherge- stellt werden. Der Gesamtentscheid und der Einspracheentscheid der Vorinstanz vom 8. Juni 2020 sind deshalb aufzuheben. Der Rekurs er- weist sich somit als begründet und ist im Sinn der Erwägungen gutzu- heissen.</w:t>
      </w:r>
    </w:p>
    <w:p>
      <w:r>
        <w:rPr>
          <w:b/>
        </w:rPr>
        <w:t>E. 8.1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Rekursgegnerin zu überbinden.</w:t>
      </w:r>
    </w:p>
    <w:p>
      <w:r>
        <w:rPr>
          <w:b/>
        </w:rPr>
        <w:t>E. 8.2</w:t>
      </w:r>
    </w:p>
    <w:p>
      <w:r>
        <w:t>Der vom Rechtsvertreter der Rekurrentinnen und Rekurrenten am 10. Juli 2020 geleistete Kostenvorschuss von Fr. 1'800.– ist zu- rückzuerstatten.</w:t>
      </w:r>
    </w:p>
    <w:p>
      <w:r>
        <w:rPr>
          <w:b/>
        </w:rPr>
        <w:t>E. 9</w:t>
      </w:r>
    </w:p>
    <w:p>
      <w:r>
        <w:t>Die Rekurrentinnen und Rekurrenten sowie die Rekursgegnerin stel- len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finden sachgemäss Anwendung (Art. 98ter VRP).</w:t>
      </w:r>
    </w:p>
    <w:p>
      <w:r>
        <w:rPr>
          <w:b/>
        </w:rPr>
        <w:t>E. 9.2</w:t>
      </w:r>
    </w:p>
    <w:p>
      <w:r>
        <w:t>Die Rekurrentinnen und Rekurrenten obsiegen mit ihren Anträ- gen. Da das Verfahren zudem in tatsächlicher und rechtlicher Hinsicht Schwierigkeiten bot, die den Beizug eines Rechtsvertreters rechtferti- gen, besteht grundsätzlich Anspruch auf eine ausseramtliche Entschä- digung (Art. 98bis VRP). Weil keine Kostennote vorliegt, ist die ausser- amtliche Entschädigung in Anwendung von Art. 6 in Verbindung mit Art. 22 der Honorarordnung (sGS 963.75) ermessensweise auf Fr. 3'250.– (zuzüglich Mehrwertsteuer) festzulegen; sie ist von der Rekursgegnerin zu bezahlen.</w:t>
      </w:r>
    </w:p>
    <w:p>
      <w:r>
        <w:t>Entscheid des Bau- und Umweltdepartementes SG (Nr. 39/2022), Seite 18/18</w:t>
      </w:r>
    </w:p>
    <w:p>
      <w:r>
        <w:rPr>
          <w:b/>
        </w:rPr>
        <w:t>E. 9.3</w:t>
      </w:r>
    </w:p>
    <w:p>
      <w:r>
        <w:t>Da die Rekursgegnerin mit ihren Anträgen unterliegt, hat sie von vornherein keinen Anspruch auf eine ausseramtliche Entschädigung. Ihr Begehren ist deshalb abzuweisen.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