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20-3517 vom 9. Juni 2020</w:t>
      </w:r>
    </w:p>
    <w:p>
      <w:r>
        <w:t>SG Gerichte, 2020-06-09, DE</w:t>
      </w:r>
    </w:p>
    <w:p>
      <w:r>
        <w:rPr>
          <w:b/>
        </w:rPr>
        <w:t xml:space="preserve">Quelle: </w:t>
      </w:r>
      <w:r>
        <w:t>https://mcp.opencaselaw.ch/entscheid/sg_publikationen_20-3517</w:t>
      </w:r>
    </w:p>
    <w:p>
      <w:r>
        <w:t>FR: SG_PUBLIKATIONEN 20-3517 du 9 juin 2020</w:t>
      </w:r>
    </w:p>
    <w:p>
      <w:r>
        <w:t>IT: SG_PUBLIKATIONEN 20-3517 del 9 giugno 2020</w:t>
      </w:r>
    </w:p>
    <w:p>
      <w:pPr>
        <w:pStyle w:val="Heading2"/>
      </w:pPr>
      <w:r>
        <w:t>Erwägungen</w:t>
      </w:r>
    </w:p>
    <w:p>
      <w:r>
        <w:rPr>
          <w:b/>
        </w:rPr>
        <w:t>E. 1.1</w:t>
      </w:r>
    </w:p>
    <w:p>
      <w:r>
        <w:t>Die Zuständigkeit des Baudepartementes ergibt sich aus Art. 43bis des Gesetzes über die Verwaltungsrechtspflege (sGS 951.1; abgekürzt VRP).</w:t>
      </w:r>
    </w:p>
    <w:p>
      <w:r>
        <w:rPr>
          <w:b/>
        </w:rPr>
        <w:t>E. 1.2</w:t>
      </w:r>
    </w:p>
    <w:p>
      <w:r>
        <w:t>Die Frist- und Formerfordernisse von Art. 47 Abs. 1 und Art. 48 VRP sind erfüllt. Die Rekursberechtigung ist – nachdem die Vorinstanz auf die Einsprache der Rekurrentin nicht eingetreten und sie dadurch beschwert ist – gegeben (Art. 45 VRP).</w:t>
      </w:r>
    </w:p>
    <w:p>
      <w:r>
        <w:rPr>
          <w:b/>
        </w:rPr>
        <w:t>E. 1.3</w:t>
      </w:r>
    </w:p>
    <w:p>
      <w:r>
        <w:t>Die Rekurrentin beantragt im Rekurs einzig, der Verkauf der frü- her das heutige Grundstück Nr. 001 bildenden Teilparzellen an die Re- kursgegnerin sei von der Rekursinstanz wieder rückgängig zu ma- chen.</w:t>
      </w:r>
    </w:p>
    <w:p>
      <w:r>
        <w:rPr>
          <w:b/>
        </w:rPr>
        <w:t>E. 1.3.1</w:t>
      </w:r>
    </w:p>
    <w:p>
      <w:r>
        <w:t>Eine Verfügung oder ein Entscheid als Anfechtungsgegenstand sind Prozessvoraussetzung, ohne die auf die Rechtsmittel der nach- träglichen Verwaltungsrechtspflege nicht eingetreten werden kann. Sie bilden somit zugleich den Anlass und die Begrenzung des Wir- kungsbereichs der nachträglichen Verwaltungsrechtspflege. Aus- serhalb des in der Verfügung oder im Entscheid geregelten Rechts- verhältnisses liegende Rechtsbegehren sind grundsätzlich unzulässig (M. BERTSCHI, in: Kommentar VRG, 3. Aufl., Zürich 2014, Vorbemer- kungen zu §§ 19-28a N 45 f.; F. GYGI, Bundesverwaltungsrechts- pflege, 2. Aufl., Bern 1983, S. 44 f.). Gegenstand des Verfahrens kann mithin nur sein, was vom erstinstanzlichen Entscheid erfasst wurde (GVP 1978 Nr. 4). Sprengt die mit dem Rekursantrag aufgestellte Rechtsbehauptung den durch die erstinstanzliche Verfügung gesteck- ten Rahmen, ist darauf nicht einzutreten. Nur die Verfügung ist Gegen- stand des Anfechtungsverfahrens. Sie bildet den Ausgangspunkt der nachträglichen Verwaltungsrechtspflege. Begrifflich ist die Verfügung des materiellen Verwaltungsrechts als eine behördliche Anordnung im Einzelfall zu verstehen, durch die ein konkretes und individuelles Rechtsverhältnis in verbindlicher Weise rechtsgestaltend oder feststel- lend geregelt wird. Wenn sich die Vorbringen in der Rekursbegrün- dung nicht auf den Anfechtungsgegenstand bzw. dessen Motive be- ziehen, genügt die Begründung den Anforderungen nicht (CAVELTI/VÖGELI, Verwaltungsgerichtsbarkeit im Kanton St.Gallen, St.Gallen 2003, Rz. 921 f. mit Hinweisen; BDE Nr. 48/2019 vom 6. Au- gust 2019 Erw. 1.2.1).</w:t>
      </w:r>
    </w:p>
    <w:p>
      <w:r>
        <w:rPr>
          <w:b/>
        </w:rPr>
        <w:t>E. 1.3.2</w:t>
      </w:r>
    </w:p>
    <w:p>
      <w:r>
        <w:t>Gegenstand der angefochtenen Verfügungen vom 17. März 2020 und somit des vorliegenden Rekursverfahrens können folglich nur die Erteilung der Baubewilligung für die L.___überbauung Z.___ auf Grundstück Nr. 001 und die Nichteintretensentscheide bezüglich der Einsprachen gegen dieses Baugesuch und gegen den Teilstras-</w:t>
      </w:r>
    </w:p>
    <w:p>
      <w:r>
        <w:t>Entscheid des Baudepartementes SG (Nr. 53/2020), Seite 5/7</w:t>
      </w:r>
    </w:p>
    <w:p>
      <w:r>
        <w:t>senplan sowie die Strassenbauprojekte sein. Vorliegend können aus- schliesslich Rügen behandelt werden, welche die Rechtsmässigkeit dieser beiden Entscheide vom 17. März 2020 betreffen.</w:t>
      </w:r>
    </w:p>
    <w:p>
      <w:r>
        <w:rPr>
          <w:b/>
        </w:rPr>
        <w:t>E. 1.3.3</w:t>
      </w:r>
    </w:p>
    <w:p>
      <w:r>
        <w:t>Antrag und Begründung des Rekurses beziehen sich indessen weder auf die Erteilung der Baubewilligung noch auf die Nichteintre- tensentscheide. Die Rekurrentin beanstandet stattdessen den dem Baubewilligungsverfahren vorausgegangenen Grundstückserwerb der Rekursgegnerin. Dieser ist nach dem oben Gesagten aber nicht An- fechtungsgegenstand, weshalb auf den Rekurs von vornherein nicht einzutreten ist.</w:t>
      </w:r>
    </w:p>
    <w:p>
      <w:r>
        <w:rPr>
          <w:b/>
        </w:rPr>
        <w:t>E. 2</w:t>
      </w:r>
    </w:p>
    <w:p>
      <w:r>
        <w:t>Bei diesem Ergebnis bräuchte an sich auf die erstinstanzliche Verfü- gung nicht weiter eingegangen und deren Rechtmässigkeit geprüft werden. Aus verfahrensökonomischen Gründen scheint dies vorlie- gend indes angezeigt. Umstritten war erstinstanzlich die Einsprache- berechtigung (Art. 45 VRP) der heutigen Rekurrentin. Diese wurde ihr von der Vorinstanz abgesprochen, weshalb sie auf die Einsprache nicht eingetreten ist.</w:t>
      </w:r>
    </w:p>
    <w:p>
      <w:r>
        <w:rPr>
          <w:b/>
        </w:rPr>
        <w:t>E. 2.1</w:t>
      </w:r>
    </w:p>
    <w:p>
      <w:r>
        <w:t>Nach Art. 45 Abs. 1 VRP – der auf das Einspracheverfahren sachgemäss Anwendung findet – ist zur Erhebung eines Rekurses be- rechtigt, wer an der Änderung oder Aufhebung der Verfügung oder des Entscheids ein eigenes schutzwürdiges Interesse dartut. Schutzwür- dig ist es, wenn der Betroffene rechtlich geschützte Interessen geltend macht oder wenn eine Verfügung oder ein Entscheid seine tatsächli- che Interessenlage mehr berührt als irgendeinen Dritten oder die All- gemeinheit (GEISSER/ZOGG, in: Rizvi/Schindler/Cavelti, Praxiskom- mentar zum Gesetz über die Verwaltungsrechtspflege, Zürich/St.Gal- len 2020, Art. 45 N 12, CAVELTI/VÖGELI, a.a.O., Rz. 390 mit Hinwei- sen). Nicht entscheidwesentlich ist, ob der Beschwerdeführer zum Baugrundstück direkten Sichtkontakt hat (VerwGE B 2009/25 vom 15. Oktober 2009 Erw. 1.2, VerwGE B 2009/219 vom 24. August 2010 Erw. 3.2.2). Das schutzwürdige Interesse besteht im praktischen Nut- zen, den ein erfolgreich geführtes Rechtsmittel dem Betroffenen in sei- ner rechtlichen oder tatsächlichen Situation einträgt, bzw. in der Ab- wendung materieller, ideeller oder sonstiger Nachteile, den ein Be- stand der angefochtenen Verfügung oder des Entscheids mit sich brin- gen würde (GEISSER/ZOGG, a.a.O., Art. 45 N 12, CAVELTI/VÖGELI, a.a.O., Rz. 391; Urteil des Bundesgerichtes 1C_236/2010 vom 16. Juli 2010 Erw. 1.3 ff.).</w:t>
      </w:r>
    </w:p>
    <w:p>
      <w:r>
        <w:rPr>
          <w:b/>
        </w:rPr>
        <w:t>E. 2.2</w:t>
      </w:r>
    </w:p>
    <w:p>
      <w:r>
        <w:t>Nach der bundesgerichtlichen Rechtsprechung sind Nachbarn zur Beschwerdeführung gegen ein Bauvorhaben legitimiert, wenn sie mit Sicherheit oder zumindest grosser Wahrscheinlichkeit durch Im- missionen wie Lärm, Staub, Erschütterungen, Licht oder andere Ein- wirkungen betroffen werden, die der Bau oder Betrieb der fraglichen Anlage hervorruft. Als wichtiges Kriterium zur Beurteilung der Betrof- fenheit dient in der Praxis die räumliche Distanz zum Bauvorhaben.</w:t>
      </w:r>
    </w:p>
    <w:p>
      <w:r>
        <w:t>Entscheid des Baudepartementes SG (Nr. 53/2020), Seite 6/7</w:t>
      </w:r>
    </w:p>
    <w:p>
      <w:r>
        <w:t>Die Rechtsprechung bejaht in der Regel die Legitimation von Nach- barn, deren Liegenschaften sich in einem Umkreis von bis zu rund 100 m befinden. Bei grösseren Entfernungen muss eine Beeinträchti- gung glaubhaft gemacht und gestützt auf eine Gesamtwürdigung der konkreten Verhältnisse beurteilt werden. Der Beeinträchtigung muss ein gewisses Gewicht zukommen, um eine Betroffenheit zu begrün- den, die grösser ist als diejenige der Allgemeinheit (Urteil des Bundes- gerichtes 1C_475/2019 vom 29. Januar 2020 Erw. 3.3.2).</w:t>
      </w:r>
    </w:p>
    <w:p>
      <w:r>
        <w:rPr>
          <w:b/>
        </w:rPr>
        <w:t>E. 2.3</w:t>
      </w:r>
    </w:p>
    <w:p>
      <w:r>
        <w:t>Vorliegend hat die Rekurrentin weder direkten Anstoss an das Baugrundstück noch zu jener Stelle, an der Anpassungen am P.___weg vorgesehen sind. Das Gebäude auf Grundstück Nr. 002, in dem die Rekurrentin ihren Firmensitz hat, liegt etwa 115 m östlich des Baugrundstücks und des Strassenbauprojekts. Aufgrund dieser be- trächtlichen Distanz verfügt die Rekurrentin nicht über die nötige räum- liche Nähe zu den Bauvorhaben, die zur Einspracheerhebung berech- tigen würde. Sie macht zudem auch keine Beeinträchtigung geltend, aus der sich ergäbe, dass sie durch die geplanten Bauvorhaben un- mittelbar und in höherem Ausmass als die Allgemeinheit in eigenen Interessen betroffen wäre. Ihre Einsprachelegitimation ist damit tat- sächlich nicht gegeben gewesen, weshalb die Vorinstanz zu Recht nicht auf die Einsprache eingetreten ist.</w:t>
      </w:r>
    </w:p>
    <w:p>
      <w:r>
        <w:rPr>
          <w:b/>
        </w:rPr>
        <w:t>E. 3</w:t>
      </w:r>
    </w:p>
    <w:p>
      <w:r>
        <w:t>Zusammenfassend ergibt sich somit, dass auf den Rekurs nicht einzu- treten ist, weil Rekursantrag und Begründung ausserhalb des Streit- gegenstands liegen.</w:t>
      </w:r>
    </w:p>
    <w:p>
      <w:r>
        <w:rPr>
          <w:b/>
        </w:rPr>
        <w:t>E. 4</w:t>
      </w:r>
    </w:p>
    <w:p>
      <w:r>
        <w:t>Nach Art. 95 Abs. 1 VRP hat in Streitigkeiten jener Beteiligte die Kos- ten zu tragen, dessen Begehren ganz oder teilweise abgewiesen wer- den. Die Entscheidgebühr beträgt Fr. 1'500.– (Nr. 20.13.01 des Ge- bührentarifs für die Kantons- und Gemeindeverwaltung, sGS 821.5). Dem Ausgang des Verfahrens entsprechend sind die amtlichen Kos- ten der Rekurrentin zu überbinden.</w:t>
      </w:r>
    </w:p>
    <w:p>
      <w:r>
        <w:rPr>
          <w:b/>
        </w:rPr>
        <w:t>E. 5</w:t>
      </w:r>
    </w:p>
    <w:p>
      <w:r>
        <w:t>Die Rekursgegnerin stellt ein Begehren um Ersatz der ausseramtli- chen Kosten.</w:t>
      </w:r>
    </w:p>
    <w:p>
      <w:r>
        <w:rPr>
          <w:b/>
        </w:rPr>
        <w:t>E. 5.1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5.2</w:t>
      </w:r>
    </w:p>
    <w:p>
      <w:r>
        <w:t>Die Rekursgegnerin obsiegt mit ihren Anträgen. Da das Verfah- ren zudem in tatsächlicher und rechtlicher Hinsicht Schwierigkeiten bot, die den Beizug eines Rechtsvertreters rechtfertigen, besteht</w:t>
      </w:r>
    </w:p>
    <w:p>
      <w:r>
        <w:t>Entscheid des Baudepartementes SG (Nr. 53/2020), Seite 7/7</w:t>
      </w:r>
    </w:p>
    <w:p>
      <w:r>
        <w:t>grundsätzlich Anspruch auf eine ausseramtliche Entschädigung (Art. 98bis VRP). Weil keine Kostennote vorliegt, ist die ausseramtliche Entschädigung in Anwendung von Art. 6 in Verbindung mit Art. 22 der Honorarordnung (sGS 963.75) ermessensweise auf Fr. 1'000.– fest- zulegen; sie ist von der Rekurrentin zu bezahlen.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