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20-3142 vom 14. April 2020</w:t>
      </w:r>
    </w:p>
    <w:p>
      <w:r>
        <w:t>SG Gerichte, 2020-04-14, DE</w:t>
      </w:r>
    </w:p>
    <w:p>
      <w:r>
        <w:rPr>
          <w:b/>
        </w:rPr>
        <w:t xml:space="preserve">Quelle: </w:t>
      </w:r>
      <w:r>
        <w:t>https://mcp.opencaselaw.ch/entscheid/sg_publikationen_20-3142</w:t>
      </w:r>
    </w:p>
    <w:p>
      <w:r>
        <w:t>FR: SG_PUBLIKATIONEN 20-3142 du 14 avril 2020</w:t>
      </w:r>
    </w:p>
    <w:p>
      <w:r>
        <w:t>IT: SG_PUBLIKATIONEN 20-3142 del 14 aprile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w:t>
      </w:r>
    </w:p>
    <w:p>
      <w:r>
        <w:t>Entscheid des Baudepartementes SG (Nr. 14/2021), Seite 8/14</w:t>
      </w:r>
    </w:p>
    <w:p>
      <w:r>
        <w:t>(Art. 172 Bst. a PBG). Die neuen Regelungen im PBG finden aller- dings in der Regel auf Baugesuche erst dann Anwendung, wenn die kommunalen Rahmennutzungspläne revidiert und in Kraft gesetzt sind. Mithin sind – soweit vorliegend überhaupt relevant, weil bei Teil- strassenplänen in erster Linie die spezialgesetzlichen Regelungen des Strassengesetzes zur Anwendung gelangen – weiterhin das BauG und das entsprechende Baureglement anwendbar, mit Ausnahme der gemäss Anhang zum Kreisschreiben "Übergangsrechtliche Bestim- mungen im PBG" vom 8. März 2017 (Baudepartement SG, Juristische Mitteilungen 2017/I/1) als unmittelbar anwendbar erklärten Bestim- mungen.</w:t>
      </w:r>
    </w:p>
    <w:p>
      <w:r>
        <w:rPr>
          <w:b/>
        </w:rPr>
        <w:t>E. 3</w:t>
      </w:r>
    </w:p>
    <w:p>
      <w:r>
        <w:t>Die Rekurrentin wie auch die Rekursgegner 1, 2 und 3 beantragen ei- nen Augenschein.</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Der Augenschein ist die unmittelbare sinnliche Wahrneh- mung von Tatsachen durch die entscheidende Instanz. Er dient dem besseren Verständnis des Sachverhalts. Ob ein Augenschein durch- zuführen ist, liegt im pflichtgemässen Ermessen der urteilenden In- stanz. Unbestrittene Tatsachen brauchen nicht durch einen Augen- schein überprüft werden, sofern eine Nachprüfung nicht durch öffent- liche Interessen geboten ist (CAVELTI/ VÖGELI, Verwaltungsgerichts- barkeit im Kanton St.Gallen, St.Gallen 2003, N 966; BDE Nr. 75/2019 vom 20. Dezember 2019 Erw. 3.1).</w:t>
      </w:r>
    </w:p>
    <w:p>
      <w:r>
        <w:rPr>
          <w:b/>
        </w:rPr>
        <w:t>E. 3.2</w:t>
      </w:r>
    </w:p>
    <w:p>
      <w:r>
        <w:t>Der rechtserhebliche Sachverhalt ergibt sich im vorliegenden Fall vollständig aus den Verfahrensakten. Es sind ausschliesslich Rechtsfragen zu beantworten, für die keine zusätzlichen Erhebungen vor Ort erforderlich sind. Entsprechend kann auf einen Augenschein verzichtet werden.</w:t>
      </w:r>
    </w:p>
    <w:p>
      <w:r>
        <w:rPr>
          <w:b/>
        </w:rPr>
        <w:t>E. 4</w:t>
      </w:r>
    </w:p>
    <w:p>
      <w:r>
        <w:t>Die Rekurrentin macht geltend, eine akzessorische Überprüfung der Nutzungsplanung sei bei der vorliegenden Beurteilung der Rechtmäs- sigkeit des Teilstrassenplans M.___strasse nicht zulässig. Da sich ihr Grundstück nach dem geltenden Zonenplan in der Bauzone befinde, sei es Aufgabe der Vorinstanz, für eine hinreichende strassenmässige Erschliessung zu sorgen, weshalb die Aufhebung des Teilstrassen- plans M.___strasse zu Unrecht erfolgt sei.</w:t>
      </w:r>
    </w:p>
    <w:p>
      <w:r>
        <w:rPr>
          <w:b/>
        </w:rPr>
        <w:t>E. 4.1</w:t>
      </w:r>
    </w:p>
    <w:p>
      <w:r>
        <w:t>Erschliessungsmassnahmen sind regelmässig mit (Teil-)Enteig- nungen und damit mit Eingriffen in die Eigentumsgarantie (Art. 26 BV) verbunden. Ein solcher Eingriff bedarf einer gesetzlichen Grundlage, muss durch ein öffentliches Interesse oder durch den Schutz von Grundrechten Dritter gerechtfertigt und verhältnismässig sein (Art. 36</w:t>
      </w:r>
    </w:p>
    <w:p>
      <w:r>
        <w:t>Entscheid des Baudepartementes SG (Nr. 14/2021), Seite 9/14</w:t>
      </w:r>
    </w:p>
    <w:p>
      <w:r>
        <w:t>Abs. 1 - 3 BV). Im Rahmen des öffentlichen Interesses (Art. 36 Abs. 2 BV) wird verlangt, dass die Erschliessung ortsplanerisch zweckmässig ist. Die Erschliessung ist deshalb auf die Nutzungsplanung abzustim- men (vgl. Art. 2 des Bundesgesetzes über die Raumplanung [SR 700; abgekürzt RPG]), und die Zufahrtsstrassen haben sich nach den zo- nengerechten Baumöglichkeiten des ganzen Gebiets zu richten, das sie erschliessen sollen. Als Instrumente zur Verwirklichung der Nut- zungsplanung müssen Erschliessungsprogramme bei jeder Revision der Nutzungspläne überarbeitet werden (vgl. Art. 19 RPG i.V.m. Art. 31 der eidgenössischen Raumplanungsverordnung [SR 700.1; ab- gekürzt RPV]). Stellt sich beispielsweise heraus, dass zu grosse Bauzonen (Art. 15 RPG) ausgeschieden wurden, müssen die Nut- zungspläne – und als Folge davon auch die Erschliessungspro- gramme – angepasst werden (Art. 21 Abs. 2 RPG). Das öffentliche Interesse an einer Erschliessungsmassnahme kann somit nicht losge- löst vom Ergebnis einer laufenden Rahmennutzungsplanrevision be- urteilt werden (Urteil des Bundesgerichtes 1C_447/2015 vom 21. Ja- nuar 2016 Erw. 3.5 f. mit Hinweisen). Beim Entscheid einer Gemeinde über eine Erschliessungsmassnahme stellen sich damit unter Umstän- den ähnliche Fragen wie bei der akzessorischen Überprüfung eines Nutzungsplans im Rahmen eines Baubewilligungsverfahrens (Urteil des Bundesgerichtes 1C_248/2019 vom 3. Februar 2020 Erw. 4.1). In der Regel genügt es zwar für den Nachweis eines überwiegenden öf- fentlichen Interesses an der Erschliessung eines Grundstücks, dass dieses der Bauzone zugewiesen ist und deshalb eine Erschliessungs- pflicht der Gemeinde besteht (Urteil des Bundesgerichtes 1C_409/2018 vom 23. Juli 2019 Erw. 3.5). Dies ist jedoch gerade dann nicht der Fall, wenn eine Rückzonung des Baugrundstücks, dem die umstrittene Erschliessungsmassnahme dienen soll, als wahrschein- lich oder zumindest als eine ernsthaft in Betracht fallende Option er- scheint. Sind bei einem veralteten oder aus anderen Gründen über- prüfungsbedürftigen Zonenplan Rückzonungen gemäss Art. 15 Abs. 2 RPG geboten, so hat die Gemeinde solche insbesondere bei unüber- bauten Bauzonen zu prüfen, die sich an peripheren und schlecht er- schlossenen Lagen befinden (Urteil des Bundesgerichtes 1C_248/2019 vom 3. Februar 2020 Erw. 4.1).</w:t>
      </w:r>
    </w:p>
    <w:p>
      <w:r>
        <w:rPr>
          <w:b/>
        </w:rPr>
        <w:t>E. 4.2</w:t>
      </w:r>
    </w:p>
    <w:p>
      <w:r>
        <w:t>Im vorliegenden Fall stammt der geltende Zonenplan der Ge- meinde Z.___ aus dem Jahr 2011 und hat den Planungshorizont für Bauzonen von 15 Jahren (Art. 15 Abs. 1 RPG) damit noch nicht über- schritten. In der Zwischenzeit ist jedoch das revidierte RPG in Kraft getreten, welches eine Siedlungsentwicklung nach innen durch Ver- dichtung der bestehenden Siedlungsfläche (Art. 1 Abs. 2 Bst. abis und Art. 3 Abs. 3 Bst. abis, Art. 8a Bst. c RPG) und die Reduzierung über- dimensionierter Bauzonen vorschreibt (Art. 15 Abs. 2 RPG). Dies wird durch den revidierten kantonalen Richtplan konkretisiert. Am 1. No- vember 2017 genehmigte der Bundesrat den kantonalen Richtplan "Teil 1 Siedlung". Gemäss Richtplankarte S 12 müssen Gemeinden, die eine überdimensionierte Bauzone aufweisen, einen Auszonungs- prozess initiieren. Grundlage für die Berechnung von überdimensio-</w:t>
      </w:r>
    </w:p>
    <w:p>
      <w:r>
        <w:t>Entscheid des Baudepartementes SG (Nr. 14/2021), Seite 10/14</w:t>
      </w:r>
    </w:p>
    <w:p>
      <w:r>
        <w:t>nierten Bauzonen im Bereich Wohnen ist das St.Galler Berechnungs- modell mit einem Horizont von 25 Jahren. Ist der berechnete Kapazi- tätsindex für die Gemeinde kleiner als minus 6 % und die auszuzo- nende Fläche insgesamt grösser als 0,5 ha, muss die Gemeinde einen Auszonungsprozess initiieren. Bei der Gemeinde Z.___ ist dies der Fall. Gemäss ihrem Gemeindeporträt über die Siedlungsgebietsdi- mensionierung der Wohn- und Mischzonen beträgt der zu erwartende Bevölkerungszuwachs bis ins Jahr 2040 118 Personen. Die Kapazität in den unbebauten Wohn- und Mischzonen beträgt heute jedoch 518 Personen; damit weist Z.___ einen Kapazitätsindex von minus 29,7 % auf (Gemeindeporträts Siedlungsgebietsdimensionierung August 2017, S. 81; abrufbar unter https://www.sg.ch/bauen/raumentwick- lung/kantonaleplanung/grundlagenzumrichtplan). Dementsprechend sind die Wohn- und Mischzonen der Gemeinde Z.___ massiv überdi- mensioniert und müssen, gemäss dem Modell zur Siedlungsgebiets- dimensionierung im kantonalen Richtplan um insgesamt 13,2 ha redu- ziert werden. Bei der Gemeinde Z.___ handelt es sich somit offensicht- lich und unbestrittenermassen um eine Auszonungsgemeinde.</w:t>
      </w:r>
    </w:p>
    <w:p>
      <w:r>
        <w:rPr>
          <w:b/>
        </w:rPr>
        <w:t>E. 4.3</w:t>
      </w:r>
    </w:p>
    <w:p>
      <w:r>
        <w:t>Gemäss Richtplankarte S 12 müssen Auszonungsgemeinden innerhalb eines Jahres nach Genehmigung des kantonalen Richtplans durch den Bund dem AREG ein Arbeitsprogramm vorlegen. Dabei sind die Auszonungsflächen zu definieren. Weiter ist aufzuzeigen, wie diese Flächen gesichert werden sollen und darzulegen, wie der Aus- zonungsprozess gestaltet wird. Innerhalb von vier Jahren nach Ge- nehmigung des Richtplans durch den Bund muss das Arbeitspro- gramm umgesetzt sein. Allfällige Rechtsmittelverfahren bleiben vorbe- halten. Ist der Prozess gemäss den Vorgaben des kantonalen Richt- plans durchlaufen, wird das Gebot zur Reduktion der Bauzonen als erfüllt betrachtet.</w:t>
      </w:r>
    </w:p>
    <w:p>
      <w:r>
        <w:rPr>
          <w:b/>
        </w:rPr>
        <w:t>E. 4.4</w:t>
      </w:r>
    </w:p>
    <w:p>
      <w:r>
        <w:t>Die Gemeinde Z.___ hat im Jahr 2017 ihre Ortsplanungsrevision aufgenommen. Ein Auszonungsprogramm wurde bereits ausgearbei- tet und im Rahmen der Mitwirkung öffentlich aufgelegt. Die Umsetzung dieses Programms ist derzeit im Gang. Die Gemeinde ist daran, die im Arbeitsprogramm festgehaltenen potenziellen Auszonungsflächen im kommunalen Richtplan behördenverbindlich festzulegen und dies dann anschliessend im neuen Rahmennutzungsplan grundeigentü- merverbindlich umzusetzen (Arbeitsprogramm, Ziff. 3.3, S. 10). Da also die rechtlich verbindliche Umsetzung derzeit erst im Gang und noch lange nicht abgeschlossen ist, steht zum jetzigen Zeitpunkt auch noch nicht definitiv fest, wo und wie viel Bauland im Rahmen der an- stehenden Revision des Rahmennutzungsplans ausgezont wird.</w:t>
      </w:r>
    </w:p>
    <w:p>
      <w:r>
        <w:rPr>
          <w:b/>
        </w:rPr>
        <w:t>E. 4.5</w:t>
      </w:r>
    </w:p>
    <w:p>
      <w:r>
        <w:t>Es wird Aufgabe der Vorinstanz sein, aufgrund einer Gesamt- schau aller Bauzonen und unter Berücksichtigung der Erkenntnisse des Mitwirkungsverfahrens definitiv zu bestimmen, wo und in welchem Umfang die Bauzone zu verkleinern ist. Obwohl damit die Auszonung des Grundstücks Nr. 001 noch nicht feststeht, fällt immerhin eine Aus- zonung (zumindest des nördlichen Teils) des Grundstücks Nr. 001 derzeit ernsthaft in Betracht. Es handelt sich dabei um eine relativ</w:t>
      </w:r>
    </w:p>
    <w:p>
      <w:r>
        <w:t>Entscheid des Baudepartementes SG (Nr. 14/2021), Seite 11/14</w:t>
      </w:r>
    </w:p>
    <w:p>
      <w:r>
        <w:t>grosse, unüberbaute Fläche, die im Norden und Osten an die Land- wirtschaftszone angrenzt, am Rand der bestehenden Wohnüberbau- ungen und damit peripher liegt und zudem strassenmässig noch nicht hinreichend erschlossen ist, weshalb dieser Grundstücksteil zurzeit auch nicht überbaut werden kann. Aus diesen Gründen wurde der obere Teil des Grundstücks Nr. 001 im Arbeitsprogramm zur Auszo- nung vorgesehen. Würde im vorliegenden Verfahren ein öffentliches Interesse an der Erschliessung des fraglichen Grundstücks bejaht und dieses durch den Erlass eines Teilstrassenplans rechtlich und tatsäch- lich hinreichend erschlossen, wäre es widersprüchlich, es anschlies- send, im Rahmen der Zonenplanrevision der Gemeinde, wieder als potenzielles Auszonungsgebiet zu berücksichtigen. Insofern ist es ge- boten, die beiden Verfahren zu koordinieren, d.h. eine Erschliessung erst in Betracht zu ziehen, wenn eine Überprüfung der Bauzone statt- gefunden hat und definitiv feststeht, dass das Grundstück Nr. 001 auch künftig in der Bauzone verbleibt (Urteil des Bundesgerichtes 1C_409/2018 vom 23. Juli 2019 Erw. 3.6; BDE Nr. 63/2019 vom 17. Oktober 2019 Erw. 7). Da eine solche definitive Festlegung noch nicht vorliegt, die künftige Auszonung aus den genannten Gründen aber ernsthaft in Betracht fällt, hat die Vorinstanz derzeit zu Recht ein öffentliches Interesse am Erlass des Teilstrassenplans M.___strasse verneint und diesen wieder aufgehoben. Eine Verletzung der ihr nach Art. 19 Abs. 2 RPG und Art. 11 Abs. 1 PBG obliegenden Erschlies- sungspflicht liegt mangels eines öffentlichen Interesses an der Er- schliessungsmassnahme nicht vor. Der Rekurs erweist sich damit als unbegründet.</w:t>
      </w:r>
    </w:p>
    <w:p>
      <w:r>
        <w:rPr>
          <w:b/>
        </w:rPr>
        <w:t>E. 5</w:t>
      </w:r>
    </w:p>
    <w:p>
      <w:r>
        <w:t>Die Rekurrentin rügt weiter, dass die Vorinstanz sich wider Treu und Glauben verhalten habe, da sie im Beschluss vom 16. Mai 2019 noch ausdrücklich und damit rechtskräftig festgestellt habe, dass das Grundstück Nr. 001 nicht ausgezont werde. Nun hebe sie jedoch den Teilstrassenplan M.___strasse mit der Begründung auf, dass eine Auszonung des Grundstücks Nr. 001 nicht auszuschliessen sei. Ge- stützt auf diesen Beschluss der Vorinstanz vom 16. Mai 2019 habe die Rekurrentin erneut Pläne zur Bebauung des oberen Teils des Grund- stücks Nr. 001 ausarbeiten lassen. Auch habe sie den Rekurs gegen den Teilstrassenplan N.___strasse zurückgezogen, weshalb sie nebst dem finanziellen Schaden auch einen Rechtsverlust erlitten habe.</w:t>
      </w:r>
    </w:p>
    <w:p>
      <w:r>
        <w:rPr>
          <w:b/>
        </w:rPr>
        <w:t>E. 5.1</w:t>
      </w:r>
    </w:p>
    <w:p>
      <w:r>
        <w:t>Gemäss Art. 9 BV hat jede Person Anspruch darauf, von den staatlichen Organen ohne Willkür und nach Treu und Glauben behan- delt zu werden (vgl. auch Art. 5 Abs. 3 BV). Der Grundsatz von Treu und Glauben verleiht einer Person Anspruch auf Schutz des berech- tigten Vertrauens in eine Zusicherung, Auskunft oder sonstiges Ver- halten einer Behörde. Voraussetzung ist, dass die sich auf den Ver- trauensschutz berufende Person berechtigterweise auf diese Grund- lage vertrauen durfte und gestützt darauf nachteilige Dispositionen ge- troffen hat, die sie nicht mehr rückgängig machen kann (Urteil des Bundesgerichtes 1C_184/2016 vom 14. November 2016 Erw. 4.2).</w:t>
      </w:r>
    </w:p>
    <w:p>
      <w:r>
        <w:t>Entscheid des Baudepartementes SG (Nr. 14/2021), Seite 12/14</w:t>
      </w:r>
    </w:p>
    <w:p>
      <w:r>
        <w:rPr>
          <w:b/>
        </w:rPr>
        <w:t>E. 5.2</w:t>
      </w:r>
    </w:p>
    <w:p>
      <w:r>
        <w:t>Mit Beschluss vom 16. Mai 2019 hob die Vorinstanz den Sistie- rungsbeschluss vom 8. November 2018 betreffend den Teilstrassen- plan M.___strasse auf. Es handelte sich dabei um eine verfahrenslei- tende Verfügung, die nicht angefochten werden konnte. Verfahrenslei- tende Verfügungen schliessen das Verfahren nicht ab, sondern stellen bloss einen Zwischenschritt auf dem Weg zur Verfahrenserledigung dar. In diesem Beschluss prüfte die Vorinstanz zwar, ob das Grund- stück Nr. 001 gestützt auf das zwischenzeitlich erarbeitete Konzept voraussichtlich in der Bauzone verbleiben werde. Diese Prüfung er- folgte jedoch bloss im Hinblick auf die Beurteilung, ob das Teilstras- senplanverfahren überhaupt weitergeführt werden solle. Das Ergebnis des Teilstrassenplanverfahrens wurde damit aber nicht vorweggenom- men. Es wurde entgegen der Auffassung der Rekurrentin mit der Auf- hebung der Sistierungsverfügung auch nicht rechtskräftig entschie- den, ob das Grundstück Nr. 001 später einmal ausgezont wird oder nicht. Diese Frage wird erst mit der kommenden Rahmennutzungs- planrevision beantwortet werden. Damit fehlt es vorliegend aber von vornherein an der erforderlichen Vertrauensgrundlage. Die Rekurren- tin durfte gestützt auf die blosse Aufhebung der Sistierungsverfügung am 16. Mai 2019 nicht ernsthaft darauf vertrauen, dass ihr Grundstück definitiv in der Bauzone verbleiben und die Vorinstanz die erforderli- chen Erschliessungsmassnahmen treffen werde. Der anwaltlich ver- tretenen Rekurrentin musste bewusst sein, dass ein Umdenken der Vorinstanz und damit ein anderslautender Einspracheentscheid immer noch möglich ist. Wenn sie trotzdem ein Baugesuch ausarbeiten liess, bevor definitiv über den Teilstrassenplan M.___strasse entschieden und damit eine hinreichende Erschliessung überhaupt erst sicherge- stellt war, so tat sie das auf eigenes Risiko.</w:t>
      </w:r>
    </w:p>
    <w:p>
      <w:r>
        <w:rPr>
          <w:b/>
        </w:rPr>
        <w:t>E. 6</w:t>
      </w:r>
    </w:p>
    <w:p>
      <w:r>
        <w:t>Zudem beanstandet die Rekurrentin, dass betreffend die Grundstücke Nr. 001 (Erschliessung mittels Teilstrassenplan M.___strasse) und Nr. 008 (Erschliessung mittels Teilstrassenplan N.___strasse) eine derart ähnliche Sachlage bestehe, dass das Gebot der Gleichbehand- lung geboten hätte, beide Fälle gleich zu behandeln. Beim Teilstras- senplan N.___strasse erfolgte – ähnlich wie beim Teilstrassenplan M.___strasse – zuerst ebenfalls eine Sistierung des Strassenplanver- fahrens und dann ebenfalls die Aufhebung der Sistierung. Auch geht es in beiden Fällen um die Erschliessung noch unüberbauter Grund- stücke, die sich zurzeit noch in der Bauzone befinden, bei der anste- henden Gesamtrevision des Rahmennutzungsplans jedoch ausgezont werden könnten. Allerdings ist anzumerken, dass das Grundstück Nr. 008, welches über die N.___strasse erschlossen werden soll, an- ders als das Grundstück Nr. 001 der Rekurrentin im Arbeitsprogramm der Vorinstanz nicht als potenzielle Auszonungsfläche vorgesehen ist. Auch in Bezug auf die periphere Lage und die überbaute Umgebung sind die beiden Grundstücke unterschiedlich. Ein Verstoss gegen das Gleichbehandlungsgebot ist damit nicht zu erkennen.</w:t>
      </w:r>
    </w:p>
    <w:p>
      <w:r>
        <w:t>Entscheid des Baudepartementes SG (Nr. 14/2021), Seite 13/14</w:t>
      </w:r>
    </w:p>
    <w:p>
      <w:r>
        <w:rPr>
          <w:b/>
        </w:rPr>
        <w:t>E. 7</w:t>
      </w:r>
    </w:p>
    <w:p>
      <w:r>
        <w:t>Zusammenfassend ergibt sich, dass die Vorinstanz aufgrund der der- zeit ernsthaft in Betracht fallenden künftigen Auszonung (zumindest eines Teils) des Grundstücks Nr. 001 ein öffentliches Interesse an der jetzigen Erschliessung und am Erlass des Teilstrassenplans M.___strasse verneint und diesen deshalb zu Recht wieder aufgeho- ben hat. Die Rekurrentin kann zudem aus der Aufhebung der Sistie- rungsverfügung vom 16. Mai 2019 wie auch aus dem Teilstrassen- planverfahren N.___strasse nichts zu ihren Gunsten ableiten. Der Re- kurs erweist sich deshalb insgesamt als unbegründet und ist abzuwei- sen.</w:t>
      </w:r>
    </w:p>
    <w:p>
      <w:r>
        <w:rPr>
          <w:b/>
        </w:rPr>
        <w:t>E. 8.1</w:t>
      </w:r>
    </w:p>
    <w:p>
      <w:r>
        <w:t>Nach Art. 95 Abs. 1 VRP hat in Streitigkeiten jener Beteiligte die Kosten zu tragen, dessen Begehren ganz oder teilweise abgewiesen werden. Die Entscheidgebühr beträgt Fr. 3'000.– (Nr. 10.01 des Ge- bührentarifs für die Kantons- und Gemeindeverwaltung, sGS 821.5). Dem Ausgang des Verfahrens entsprechend sind die amtlichen Kos- ten der Rekurrentin zu überbinden.</w:t>
      </w:r>
    </w:p>
    <w:p>
      <w:r>
        <w:rPr>
          <w:b/>
        </w:rPr>
        <w:t>E. 8.2</w:t>
      </w:r>
    </w:p>
    <w:p>
      <w:r>
        <w:t>Der von der Rekurrentin am 6. Mai 2020 geleistete Kostenvor- schuss von Fr. 1'800.– ist anzurechnen.</w:t>
      </w:r>
    </w:p>
    <w:p>
      <w:r>
        <w:rPr>
          <w:b/>
        </w:rPr>
        <w:t>E. 9</w:t>
      </w:r>
    </w:p>
    <w:p>
      <w:r>
        <w:t>Die Rekurrentin und die Rekursgegner 4 stellen ein Begehren um Er- 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Da die Rekurrentin mit ihren Anträgen unterliegt, hat sie von vornherein keinen Anspruch auf eine ausseramtliche Entschädigung. Ihr Begehren ist deshalb abzuweisen.</w:t>
      </w:r>
    </w:p>
    <w:p>
      <w:r>
        <w:rPr>
          <w:b/>
        </w:rPr>
        <w:t>E. 9.3</w:t>
      </w:r>
    </w:p>
    <w:p>
      <w:r>
        <w:t>Die Rekursgegner 4 obsiegen mit ihren Anträgen. Da das Ver- fahren zudem in tatsächlicher und rechtlicher Hinsicht Schwierigkeiten bot, die den Beizug eines Rechtsvertreters rechtfertigen, besteht grundsätzlich Anspruch auf eine ausseramtliche Entschädigung (Art. 98bis VRP). Entsprechend der Eingabe des Vertreters der Rekurs- gegner 4 vom 27. November 2020, ist die ausseramtliche Entschädi- gung in Anwendung von Art. 6 in Verbindung mit Art. 22 der Honora- rordnung (sGS 963.75) ermessensweise auf Fr. 2'750.– plus 4 % Bar- auslagen, insgesamt also auf Fr. 2'860.–, zuzüglich Mehrwertsteuer festzulegen; sie ist von der Rekurrentin zu bezahlen.</w:t>
      </w:r>
    </w:p>
    <w:p>
      <w:r>
        <w:t>Entscheid des Baudepartementes SG (Nr. 14/2021), Seite 14/14</w:t>
      </w:r>
    </w:p>
    <w:p>
      <w:r>
        <w:t>Entscheid 1.</w:t>
      </w:r>
    </w:p>
    <w:p>
      <w:r>
        <w:t>Der Rekurs der A.___, X.___, wird abgewiesen.</w:t>
      </w:r>
    </w:p>
    <w:p>
      <w:r>
        <w:t>2.</w:t>
      </w:r>
    </w:p>
    <w:p>
      <w:r>
        <w:t>a) Die A.___ bezahlt eine Entscheidgebühr von Fr. 3'000.–.</w:t>
      </w:r>
    </w:p>
    <w:p>
      <w:r>
        <w:t>b) Der am 6. Mai 2020 von der A.___ geleistete Kostenvorschuss von Fr. 1'800.– wird angerechnet.</w:t>
      </w:r>
    </w:p>
    <w:p>
      <w:r>
        <w:t>3.</w:t>
      </w:r>
    </w:p>
    <w:p>
      <w:r>
        <w:t>a) Das Begehren von E.___, W.___, um Ersatz der ausseramtli- chen Kosten wird gutgeheissen. Die A.___ entschädigt E.___ ausser- amtlich mit insgesamt Fr. 2'860.– zuzüglich Mehrwertsteuer.</w:t>
      </w:r>
    </w:p>
    <w:p>
      <w:r>
        <w:t>b) Das Begehren der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