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20-1553 vom 24. Januar 2020</w:t>
      </w:r>
    </w:p>
    <w:p>
      <w:r>
        <w:t>SG Gerichte, 2020-01-24, DE</w:t>
      </w:r>
    </w:p>
    <w:p>
      <w:r>
        <w:rPr>
          <w:b/>
        </w:rPr>
        <w:t xml:space="preserve">Quelle: </w:t>
      </w:r>
      <w:r>
        <w:t>https://mcp.opencaselaw.ch/entscheid/sg_publikationen_20-1553</w:t>
      </w:r>
    </w:p>
    <w:p>
      <w:r>
        <w:t>FR: SG_PUBLIKATIONEN 20-1553 du 24 janvier 2020</w:t>
      </w:r>
    </w:p>
    <w:p>
      <w:r>
        <w:t>IT: SG_PUBLIKATIONEN 20-1553 del 24 gennaio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dementsprechend vorbehältlich der nachfolgenden Erwägung 1.3 einzutreten.</w:t>
      </w:r>
    </w:p>
    <w:p>
      <w:r>
        <w:rPr>
          <w:b/>
        </w:rPr>
        <w:t>E. 1.3</w:t>
      </w:r>
    </w:p>
    <w:p>
      <w:r>
        <w:t>Rügen sind substantiiert vorzubringen bzw. haben eine Begrün- dung zu enthalten (Art. 48 Abs. 1 VRP). Eine Begründung ist ausrei- chend, wenn in ihr selbst Argumente vorgebracht werden, nach denen der angefochtene Entscheid auf einer fehlerhaften Sachverhaltsfest- stellung oder Rechtsanwendung beruht. Es reicht insbesondere nicht, im Rekursverfahren lediglich auf die Einsprachebegründung zu ver- weisen. Darüber hinaus gilt das Rügeprinzip. Die Verfahrensbeteilig- ten haben demnach im Rekurs konkret darzutun, in welchen Punkten die Baubewilligung unhaltbar sein soll. Mit den Rügen legen sie den Streitgegenstand des Rechtsmittelverfahrens im Grundsatz verbind- lich fest. Als Rügen gelten die Einwände (Sachverhaltsvorbringen) ge- gen die vorinstanzliche Beurteilung oder ein geplantes Vorhaben. Sie beziehen sich auf die Vereinbarkeit der Beurteilung bzw. des Projekts mit den einschlägigen Vorschriften und/oder die vorinstanzlichen Sachverhaltsfeststellungen (H. ARTA, in: Rizvi/Schindler/Cavelti [Hrsg.], Praxiskommentar zum Gesetz über die Verwaltungsrechts- pflege, Zürich/St.Gallen 2020, Überblick N 23; BDE 7/2021 vom 22. Januar 2021 Erw. 1.3.2). Diese Voraussetzung fehlt vorliegend in Bezug auf den Eventualantrag, dass das Bauprojekt um ein Stockwerk zu reduzieren sei, sofern damit eine Verletzung nach Art. 684 ZGB ge- meint sein sollte. Bereits im Einspracheverfahren musste diesbezüg- lich festgestellt werden, dass der (anwaltlich vertretene) Einsprecher nicht darlege, inwiefern mit der nachgesuchten Projektänderung eine übermässige Beeinträchtigung vorliege. Die Vorinstanz ging in der Folge zwar davon aus, dass damit die Höhe der Baute und der damit zusammenhängende Schattenwurf gemeint sein könnten, gegenüber dem bereits bewilligten Projekt konnte sie jedoch keine wesentliche Verschlechterung feststellen, weshalb sie die Einsprache nach Art. 684 ZGB abwies, soweit sie darauf eintrat. Tatsächlich hätte sie</w:t>
      </w:r>
    </w:p>
    <w:p>
      <w:r>
        <w:t>Entscheid des Baudepartementes SG (Nr. 17/2021), Seite 8/12</w:t>
      </w:r>
    </w:p>
    <w:p>
      <w:r>
        <w:t>auf die Rüge nach Art. 684 ZGB mangels Begründung gar nicht ein- treten müssen. Nun wird im Rekursverfahren wiederum nichts vorge- bracht, weshalb die Projektänderungen den Rekurrenten übermässig beeinträchtigen sollen. Die Geschossigkeit lässt er einzig im Zusam- menhang mit dem vorausgegangenen Umzonungsverfahren rügen. Folglich ist das weitere Vollgeschoss auch nur in diesem Rahmen zu überprüfen, nicht aber im Zusammenhang mit Art. 684 ZGB. Dies hat zur Folge, dass auf den Rekurs bezüglich der beantragten Aufhebung von Ziffer 3 des angefochtenen Beschlusses nicht einzutreten ist.</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24. Januar 2020.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Der Rekurrent rügt, mit der Bewilligung der Projektänderung werde gegen den verfassungsmässigen Grundsatz von Treu und Glauben verstossen, weil diese nicht dem Bauvorhaben entspreche, das damals der Umzonung von der Grünzone in die Zone für öffentliche Bauten und Anlagen zu Grunde gelegen habe. Weiter bestreitet er grundsätzlich, dass Alterswohnungen in der Zone für öffentliche Bauten und Anlagen zonenkonform seien.</w:t>
      </w:r>
    </w:p>
    <w:p>
      <w:r>
        <w:rPr>
          <w:b/>
        </w:rPr>
        <w:t>E. 3.1</w:t>
      </w:r>
    </w:p>
    <w:p>
      <w:r>
        <w:t>Die Baubewilligung wird erteilt, wenn keine im öffentlichen Recht begründeten Hindernisse vorliegen (Art. 146 PBG). Dazu gehört, dass das Bauvorhaben unter anderem zonenkonform ist und den Regelbau- vorschriften entspricht. Für die Zonenkonformität ist vorliegend Art. 18 BauG massgebend. Demnach sind Bauten und Anlagen, die im öffentlichen Interesse liegen und öffentliche Bedürfnisse befriedi- gen zonenkonform.</w:t>
      </w:r>
    </w:p>
    <w:p>
      <w:r>
        <w:rPr>
          <w:b/>
        </w:rPr>
        <w:t>E. 3.2</w:t>
      </w:r>
    </w:p>
    <w:p>
      <w:r>
        <w:t>Vorab ist dazu festzuhalten, dass die Umzonung in die Zone für öffentliche Bauten und Anlagen nicht – wie vom Rekurrenten behaup- tet – unter der Bedingung beschlossen worden ist, dass auf dem Grundstück Nr. 001 ein Spitex-Stützpunkt errichtet werde, auch wenn ein solcher damals zur Debatte gestanden hat und eines der Motive für den damaligen Umzonungsbeschluss gewesen sein mag. Dazu kommt, dass das Verwaltungsgericht im Zusammenhang mit dem ers- ten Baugesuch bereits festgehalten hat, dass ein solch bedingter Er- lass eines Nutzungsplans ohne entsprechende ausdrückliche gesetz- liche Grundlage im kantonalen Recht ohnehin nicht zulässig wäre und selbst dann nicht rechtmässig weil bundesrechtswidrig wäre. Wenn</w:t>
      </w:r>
    </w:p>
    <w:p>
      <w:r>
        <w:t>Entscheid des Baudepartementes SG (Nr. 17/2021), Seite 9/12</w:t>
      </w:r>
    </w:p>
    <w:p>
      <w:r>
        <w:t>also tatsächlich die Meinung bestanden hätte, dass die Umzonung mit dem entsprechenden Baugesuch hätte verknüpft werden sollen, hätte die politische Gemeinde für eine entsprechende Verfahrenskoordina- tion zwischen dem Umzonungs- und Baubewilligungsverfahren sorgen müssen, was sie aber nicht getan hat (VerwGE B 2016/82 vom 7. April 2017 Erw. 2.). Dass der Spitexstützpunkt für den Umzonungsbe- schluss nach Meinung der politischen Gemeinde entbehrlich war, zeigt sich aber auch darin, dass der Stadtrat auf das entsprechende Gesuch des Rekurrenten, während des hängigen Baubewilligungsverfahren eine entsprechende Planungszone zu erlassen, nicht eingetreten ist.</w:t>
      </w:r>
    </w:p>
    <w:p>
      <w:r>
        <w:rPr>
          <w:b/>
        </w:rPr>
        <w:t>E. 3.3</w:t>
      </w:r>
    </w:p>
    <w:p>
      <w:r>
        <w:t>Das Verwaltungsgericht hat weiter festgehalten, dass vorliegend die genehmigte und zwischenzeitlich in Rechtskraft gesetzte Umzo- nung im nachfolgenden Baubewilligungsverfahren nicht mehr vorfra- geweise überprüft werden könne (VerwGE B 2016/82 vom 7. April 2017 Erw. 2.). Tatsächlich müssen materielle Einwendungen gegen die Rechtmässigkeit eines Erlasses bereits während der Auflagefrist des Planverfahrens vorgetragen werden. Im nachfolgenden Baubewil- ligungsverfahren sind solche Einwände aus Gründen der Rechtssi- cherheit in der Regel ausgeschlossen. Akzessorische Überprüfung und Anpassung des Planerlasses wären nur möglich, wenn sich die Verhältnisse seit der Planfestlegung erheblich geändert hätten bzw. wenn Umstände eingetreten wären, welche die Gültigkeit des Plans in Frage stellten. Weiter kommt eine akzessorische Überprüfung in Frage, wenn die betroffenen Grundeigentümer nicht befähigt oder ver- anlasst waren, ihre Rechte im Planverfahren wirksam zu wahren, sei es, dass das Verfahren ihnen nicht die Möglichkeit dazu bot oder dass sie die rechtliche Tragweite des Plans noch nicht klar erkennen konn- ten (BGE 135 II 209 Erw. 5.1 mit Verweisen auf BGE 106 Ia 310 Erw. 3 und weitere). All dies ist hier nicht der Fall. Damit steht wiederum fest, dass die Bewilligung der Alterswohnungen auf dem Grundstück Nr. 001 nicht von der Realisierung des ursprünglich vorgesehenen Spitexstützpunkts abhängig gemacht werden kann. Andere Gründe, weshalb gleichwohl vorfrageweise auf den Einzonungsbeschluss zu- rückgekommen werden soll, macht der Rekurrent nicht geltend und sind auch sonst nicht erkennbar.</w:t>
      </w:r>
    </w:p>
    <w:p>
      <w:r>
        <w:rPr>
          <w:b/>
        </w:rPr>
        <w:t>E. 3.4</w:t>
      </w:r>
    </w:p>
    <w:p>
      <w:r>
        <w:t>Zur Zonenkonformität der geplanten Alterswohnungen auf dem Baugrundstück Nr. 001 hat das Verwaltungsgericht bereits am 7. April 2017 bestätigt, dass diese in der vorliegenden Zone zulässig seien, auch wenn der ursprünglich geplante Wirrgarten nicht realisiert werde und die Wohnungen auch sonst in keinem speziellen Zusammenhang mit einer Institution oder Organisation der Altersbetreuung stünden. Nötig sei einzig, dass für die Mieter ein Mindestalter von 60 Jahren vorgeschrieben und dies mittels einer Auflage in der Baubewilligung sichergestellt und als öffentlich-rechtliche Eigentumsbeschränkung im Grundbuch angemerkt (Art. 962 Abs. 1 ZGB) werde (VerwGE B 2016/82 vom 7. April 2017 Erw. 3.2). Der Rekurrent hat diesen Ent- scheid nicht angefochten, weshalb er in Rechtskraft erwachsen ist und grundsätzlich nicht erneut in Frage gestellt werden kann (Urteil des</w:t>
      </w:r>
    </w:p>
    <w:p>
      <w:r>
        <w:t>Entscheid des Baudepartementes SG (Nr. 17/2021), Seite 10/12</w:t>
      </w:r>
    </w:p>
    <w:p>
      <w:r>
        <w:t>Bundesgerichtes 1C_673/2013 vom 7. März 2014 Erw. 5.2). Weil da- mit ein rechtskräftiger verwaltungsgerichtlicher Entscheid vorliegt, kann dieser von der erstinstanzlichen Behörde auch nicht mehr wegen ursprünglicher Fehlerhaftigkeit widerrufen bzw. in Wiedererwägung gezogen werden (materielle Rechtskraft des Urteils). Eine anderslau- tende Verfügung könnte bloss noch deshalb ergehen, wenn sich die tatsächlichen Verhältnisse oder die materielle Rechtslage seit dem Ur- teil wesentlich geändert hätten (Urteil des Bundesgerichtes 1C_63/2019 vom 29. Januar 2020 Erw. 5). Solche Gründe lässt der Rekurrent aber keine vorbringen. Er belässt es vielmehr dabei, das vom Verwaltungsgericht rechtskräftig Entschiedene erneut zu bestrei- ten. Demnach ist auf den Verwaltungsgerichtsentscheid nicht mehr zu- rückzukommen.</w:t>
      </w:r>
    </w:p>
    <w:p>
      <w:r>
        <w:rPr>
          <w:b/>
        </w:rPr>
        <w:t>E. 3.5</w:t>
      </w:r>
    </w:p>
    <w:p>
      <w:r>
        <w:t>Wenn nach dem Gesagten für die Zonenkonformität der Alters- wohnungen keine Spitexräume im Haus nötig sind, spielt es für die Bewilligungsfähigkeit der Projektänderung auch keine Rolle, dass die angeordnete Vergrösserung der mittlerweile in genügender Anzahl ausgewiesenen Keller- und Abstellräume allenfalls auf Kosten der ge- planten Allgemeinräume und der von der Spitex mitgenutzten Räume gehen würde. Die entsprechenden Anpassungen sodann sind unbe- strittenermassen ohne Änderung am äusseren Erscheinungsbild mög- lich, nötig sind lediglich kleinere Grundrissanpassungen und Wandver- schiebungen. Es spricht deshalb nichts dagegen, dass die Baube- hörde die entsprechenden Bauhindernisse als untergeordnet einge- stuft und die Projektänderung mit der Auflage im Sinn von Art. 147 Abs. 1 PBG bewilligt hat, dass ein entsprechendes Korrekturgesuch nachgereicht werde.</w:t>
      </w:r>
    </w:p>
    <w:p>
      <w:r>
        <w:rPr>
          <w:b/>
        </w:rPr>
        <w:t>E. 4</w:t>
      </w:r>
    </w:p>
    <w:p>
      <w:r>
        <w:t>Zusammenfassend ergibt sich, dass auf den Rekurs bezüglich der Ab- weisung der Einsprache nach Art. 684 ZGB mangels Begründung nicht einzutreten ist. Sodann erweist sich die vorliegend zu überprü- fende Projektänderung gleich wie das bereits am 10. Dezember 2018 rechtskräftig bewilligte Bauvorhaben als zonenkonform. Der Rekurs ist somit unbegründet und ist abzuweisen, soweit darauf einzutreten ist.</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5.2</w:t>
      </w:r>
    </w:p>
    <w:p>
      <w:r>
        <w:t>Der vom Rekurrenten am 6. März 2020 geleistete Kostenvor- schuss von Fr. 1'800.– ist anzurechnen.</w:t>
      </w:r>
    </w:p>
    <w:p>
      <w:r>
        <w:rPr>
          <w:b/>
        </w:rPr>
        <w:t>E. 6</w:t>
      </w:r>
    </w:p>
    <w:p>
      <w:r>
        <w:t>Der Rekurrent und die Rekursgegnerin stellen ein Begehren um Ersatz der ausseramtlichen Kosten.</w:t>
      </w:r>
    </w:p>
    <w:p>
      <w:r>
        <w:t>Entscheid des Baudepartementes SG (Nr. 17/2021), Seite 11/12</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Da kein begründeter Antrag um Zusprechung der Mehrwertsteuer gestellt wurde, wird diese aufgrund des per 1. Ja- nuar 2019 geänderten Art. 29 HonO nicht zum Honorar hinzugerech- net.</w:t>
      </w:r>
    </w:p>
    <w:p>
      <w:r>
        <w:rPr>
          <w:b/>
        </w:rPr>
        <w:t>E. 6.3</w:t>
      </w:r>
    </w:p>
    <w:p>
      <w:r>
        <w:t>Da der Rekurrent mit seinen Anträgen unterliegt, hat er von vornherein keinen Anspruch auf eine ausseramtliche Entschädigung. Sein Begehren ist deshalb abzuweisen. Entscheid 1.</w:t>
      </w:r>
    </w:p>
    <w:p>
      <w:r>
        <w:t>Der Rekurs von A.___ wird abgewiesen, soweit darauf eingetreten wird.</w:t>
      </w:r>
    </w:p>
    <w:p>
      <w:r>
        <w:t>2.</w:t>
      </w:r>
    </w:p>
    <w:p>
      <w:r>
        <w:t>a) A.___ bezahlt eine Entscheidgebühr von Fr. 3'000.–.</w:t>
      </w:r>
    </w:p>
    <w:p>
      <w:r>
        <w:t>b) Der am 6. März 2020 von A.___ geleistete Kostenvorschuss von Fr. 1'800.– wird angerechnet.</w:t>
      </w:r>
    </w:p>
    <w:p>
      <w:r>
        <w:t>3.</w:t>
      </w:r>
    </w:p>
    <w:p>
      <w:r>
        <w:t>a) Das Begehren der B.___ um Ersatz der ausseramtlichen Kosten wird gutgeheissen. A.___ entschädigt die B.___ ausseramtlich mit Fr. 2'750.–.</w:t>
      </w:r>
    </w:p>
    <w:p>
      <w:r>
        <w:t>b) Das Begehren von A.___ um Ersatz der ausseramtlichen Kos- ten wird abgewiesen.</w:t>
      </w:r>
    </w:p>
    <w:p>
      <w:r>
        <w:t>Entscheid des Baudepartementes SG (Nr. 17/2021), Seite 12/12</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