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20-10049, 20-10053, 20-10073 vom 3. November 2020</w:t>
      </w:r>
    </w:p>
    <w:p>
      <w:r>
        <w:t>SG Gerichte, 2020-11-03, DE</w:t>
      </w:r>
    </w:p>
    <w:p>
      <w:r>
        <w:rPr>
          <w:b/>
        </w:rPr>
        <w:t xml:space="preserve">Quelle: </w:t>
      </w:r>
      <w:r>
        <w:t>https://mcp.opencaselaw.ch/entscheid/sg_publikationen_20-10049__20-10053__20-10073</w:t>
      </w:r>
    </w:p>
    <w:p>
      <w:r>
        <w:t>FR: SG_PUBLIKATIONEN 20-10049, 20-10053, 20-10073 du 3 novembre 2020</w:t>
      </w:r>
    </w:p>
    <w:p>
      <w:r>
        <w:t>IT: SG_PUBLIKATIONEN 20-10049, 20-10053, 20-10073 del 3 novembre 2020</w:t>
      </w:r>
    </w:p>
    <w:p>
      <w:pPr>
        <w:pStyle w:val="Heading2"/>
      </w:pPr>
      <w:r>
        <w:t>Erwägungen</w:t>
      </w:r>
    </w:p>
    <w:p>
      <w:r>
        <w:rPr>
          <w:b/>
        </w:rPr>
        <w:t>E. 1.1</w:t>
      </w:r>
    </w:p>
    <w:p>
      <w:r>
        <w:t>Die drei Rekursverfahren stehen im gleichen sachlichen Zusam- 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Die Rekursberechtigungen sind gegeben (Art. 45 VRP). Auf die Rekurse ist einzutreten.</w:t>
      </w:r>
    </w:p>
    <w:p>
      <w:r>
        <w:t>Entscheid des Bau- und Umweltdepartementes SG (Nr. 47/2022), Seite 12/27</w:t>
      </w:r>
    </w:p>
    <w:p>
      <w:r>
        <w:rPr>
          <w:b/>
        </w:rPr>
        <w:t>E. 2</w:t>
      </w:r>
    </w:p>
    <w:p>
      <w:r>
        <w:t>Am 1. Oktober 2017 ist PBG in Kraft getreten und das Baugesetz vom</w:t>
      </w:r>
    </w:p>
    <w:p>
      <w:r>
        <w:rPr>
          <w:b/>
        </w:rPr>
        <w:t>E. 6</w:t>
      </w:r>
    </w:p>
    <w:p>
      <w:r>
        <w:t>Juni 1972 (nGS 8, 134; abgekürzt BauG) aufgehoben worden (Art. 172 Bst. a PBG). Die erstinstanzlichen Beschlüsse ergingen am 3. und 20. November 2020. Mithin sind vorliegend grundsätzlich die Bestimmungen des PBG anwendbar, sofern sie gemäss Anhang zum Kreisschreiben „Übergangsrechtliche Bestimmungen im PBG“ vom</w:t>
      </w:r>
    </w:p>
    <w:p>
      <w:r>
        <w:rPr>
          <w:b/>
        </w:rPr>
        <w:t>E. 6.1</w:t>
      </w:r>
    </w:p>
    <w:p>
      <w:r>
        <w:t>Die Stieleiche steht im Baumschutzgebiet, weshalb ihre Fällung nach Art. 39 Abs. 1 Bst. a BO unabhängig ihrer Unterschutzstellung allein wegen ihres Stammumfangs eine Bewilligung voraussetzt. Diese kann nach Abs. 2 wie bei einem Einzelschutzobjekt gemäss Art. 122 Abs. 3 und Art. 129 Abs. 2 PBG erteilt werden, wenn das In- teresse an der Fällung das Interesse an der Erhaltung überwiegt. Das ist nach Art. 39 Abs. 2 BO insbesondere dann der Fall, wenn ein Baum ohne qualitative Verschlechterung des bestehenden Baumbestands gefällt werden kann und der Baum nicht besonders schützenswert ist (Bst. a), der Baum im Bereich einer geplanten Hauptbaute steht und dieser nicht besonders schützenswert ist (Bst. b) oder die Nutzung von Räumen zu längerem Aufenthalt von Menschen unzumutbar beein- trächtigt wird (Bst. c).</w:t>
      </w:r>
    </w:p>
    <w:p>
      <w:r>
        <w:rPr>
          <w:b/>
        </w:rPr>
        <w:t>E. 6.2</w:t>
      </w:r>
    </w:p>
    <w:p>
      <w:r>
        <w:t>Vorliegend steht Art. 39 Abs. 2 Bst. c BO zur Diskussion, weil insbesondere zwei Wohnräume und ein Balkon der Liegenschaft Vers.-Nr. 2057 beschattet und bzw. vom Laubabfall beeinträchtigt wer- den. Wie bereits unter Erw. 4.5.2 erörtert ist diese Beeinträchtigung nicht unzumutbar. Dazu kommt, dass Art. 39 Abs. 2 Bst. c BO nach dem Wortlaut zwar unabhängig einer allfälligen Schutzwürdigkeit des betroffenen Baums zur Anwendung gelangt. Die vorliegende Eiche steht nun aber unter Schutz, weshalb hier auch unter Art. 39 Abs. 2 Bst. c BO eine Interessenabwägung nach Art. 122 Abs. 3 und Art. 129 Abs. 2 PBG vorzunehmen ist, die – wie unter Erw. 4.5 f. bereits erör- tert, zu Gunsten des Erhalts der Stieleiche ausfällt.</w:t>
      </w:r>
    </w:p>
    <w:p>
      <w:r>
        <w:rPr>
          <w:b/>
        </w:rPr>
        <w:t>E. 6.3</w:t>
      </w:r>
    </w:p>
    <w:p>
      <w:r>
        <w:t>Nach dem Gesagten hat die Vorinstanz 2 das Fällgesuch zu Recht abgewiesen.</w:t>
      </w:r>
    </w:p>
    <w:p>
      <w:r>
        <w:t>7.</w:t>
      </w:r>
    </w:p>
    <w:p>
      <w:r>
        <w:t>Der Rekurrent 1 verlangt, den Kostenentscheid für sein abgewiesenes Fällgesuch aufzuheben. Verursacherin des Gesuchs sei allein die Re- kursgegnerin 1 gewesen, weshalb auch sie die Verfahrenskosten da- für bezahlen müsse.</w:t>
      </w:r>
    </w:p>
    <w:p>
      <w:r>
        <w:t>7.1 Nach Art. 94 Abs. 1 VRP hat die vorgeschriebene Gebühr zu entrichten, wer eine Amtshandlung zum eigenen Vorteil oder durch</w:t>
      </w:r>
    </w:p>
    <w:p>
      <w:r>
        <w:t>Entscheid des Bau- und Umweltdepartementes SG (Nr. 47/2022), Seite 23/27</w:t>
      </w:r>
    </w:p>
    <w:p>
      <w:r>
        <w:t>sein Verhalten veranlasst. Unter Amtshandlung zum eigenen Vorteil sind Gesuchsverfahren zu verstehen, bei denen Private mit dem Ersu- chen um Erlass einer Verfügung oder Vornahme einer anderen Amts- handlung an die Behörde gelangen. Etwas anderes gilt, wenn das Ver- fahren von der Behörde von Amtes wegen eingeleitet wird. In diesem Fall dürfen dem Privaten nur dann Kosten auferlegt werden, wenn er das Verfahren durch sein Verhalten veranlasst hat. Kostenpflichtig ist somit der Verhaltensverursacher. Als solcher gilt analog dem Verhal- tensstörer, wer unmittelbar bzw. adäquat kausal durch sein eigenes Verhalten oder durch das Verhalten von Dritten, für die er verantwort- lich ist, eine Amtshandlung veranlasst. Ein Verschulden ist dabei nicht erforderlich. Sodann können gestützt auf Art. 94 Abs. 1 Satz 1 VRP auch dem sogenannten Zustandsverursacher Gebühren auferlegt werden, obwohl nur von einem Verhalten die Rede ist (R. VON RAPPARD, in: Rizvi/Schindler/Cavelti [Hrsg.], Gesetz über die Verwal- tungsrechtspflege (VRP), Praxiskommentar, Zürich/St.Gallen 2020, Art. 94 N 5).</w:t>
      </w:r>
    </w:p>
    <w:p>
      <w:r>
        <w:t>7.2 Der Rekurrent 1 ist Eigentümer der Stieleiche, die unbestritte- nermassen den gesetzlichen Grenzabstand verletzt. Damit war die Rekursgegnerin 1 grundsätzlich berechtigt, deren Fällung zu verlan- gen. Das Zivilgericht hat den Rekurrenten 1 denn auch verpflichtet, den Baum zu fällen bzw. dafür – da der Baum im Baumschutzgebiet nach Art. 39 Abs. 1 Bst. a BO steht – ein Fällgesuch einzureichen. In der Folge hat der Rekurrent 1 – in Nachachtung des gerichtlichen Ur- teils – um deren Fällung nachsuchen müssen. Andernfalls wäre die Rekursgegnerin 1 gerichtlich ermächtigt gewesen, auf Kosten des Re- kurrenten 1 die Fällbewilligung einzuholen und die Eiche auf seine Kosten fällen zu lassen. Damit hat der Rekurrent 1 durch sein Verhal- ten die Amtshandlung verursacht. Daran ändert nichts, dass die Re- kursgegnerin 1 das entsprechende Gerichtsurteil mit ihrer (rechtmäs- sigen) Klage provoziert hatte und dass die jeweils zuständigen Behör- den den Baum sodann auf seinen Antrag hin unter Schutz gestellt und das Fällgesuch auf Grund der vorzunehmenden Interessenabwägung abgewiesen haben. Die Höhe der Gebühr ist nicht umstritten, weshalb diese nicht zu überprüfen ist.</w:t>
      </w:r>
    </w:p>
    <w:p>
      <w:r>
        <w:rPr>
          <w:b/>
        </w:rPr>
        <w:t>E. 8</w:t>
      </w:r>
    </w:p>
    <w:p>
      <w:r>
        <w:t>Zusammenfassend ergibt sich, dass die Vorinstanz 2 auf die Einspra- che der Rekurrentin 2 hätte eintreten und diese gutheissen müssen, weil dieser die Verbandsbeschwerde offen gestanden hat. Dagegen hat sie dem Rekurrenten 1 die Kosten für die Verweigerung seines Fällgesuchs zu Recht auferlegt, auch wenn er selbst die Verweigerung seines Gesuchs beantragt hat. Darüber hinaus haben die Vorinstan- zen 1 und 2 die Stieleiche auf dem Grundstück Nr. 001 zu Recht unter Schutz gestellt bzw. deren Fällung richtigerweise verweigert, auch wenn die Begründung für die Unterschutzstellung falsch war. Die Re- kurse 1 und 3 sind somit abzuweisen, soweit darauf einzutreten ist. Der Rekurs 2 ist im Sinn der Erwägungen gutzuheissen und die Ziff. 3 des Beschlusses der Vorinstanz 2 vom 20. November 2020 aufzuhe- ben. Da die Vorinstanz 2 das Fällgesuch jedoch abgewiesen und somit</w:t>
      </w:r>
    </w:p>
    <w:p>
      <w:r>
        <w:t>Entscheid des Bau- und Umweltdepartementes SG (Nr. 47/2022), Seite 24/27</w:t>
      </w:r>
    </w:p>
    <w:p>
      <w:r>
        <w:t>der Einsprache materiell entsprochen hat, kann von einer Rückwei- sung abgesehen werden. Ziffer 3 des angefochtenen Beschlusses ist jedoch dahingehend anzupassen, als dass die Einsprache der Rekur- rentin 2 gutgeheissen wird.</w:t>
      </w:r>
    </w:p>
    <w:p>
      <w:r>
        <w:rPr>
          <w:b/>
        </w:rPr>
        <w:t>E. 9.1</w:t>
      </w:r>
    </w:p>
    <w:p>
      <w:r>
        <w:t>Nach Art. 95 Abs. 1 VRP hat in Streitigkeiten jener Beteiligte die Kosten zu tragen, dessen Begehren ganz oder teilweise abgewiesen werden. Die Entscheidgebühr für die drei Rekurse beträgt insgesamt Fr. 4'700.– (Nr. 20.13.01 des Gebührentarifs für die Kantons- und Ge- meindeverwaltung, sGS 821.5). Dem Ausgang des Verfahrens ent- sprechend hat der Rekurrent 1 Fr. 700.– für das Rekursverfahren Nr. 20-10049, die Politische Gemeinde Z.___ Fr. 1'000.– für das Re- kursverfahren Nr. 20-10053 und die Rekurrentin 3 für das Rekursver- fahren Nr. 20-10073 Fr. 3'000.– zu bezahlen. Auf die Erhebung des Kostenanteils der Politischen Gemeinde ist zu verzichten (Art. 95 Abs. 3 VRP).</w:t>
      </w:r>
    </w:p>
    <w:p>
      <w:r>
        <w:rPr>
          <w:b/>
        </w:rPr>
        <w:t>E. 9.2</w:t>
      </w:r>
    </w:p>
    <w:p>
      <w:r>
        <w:t>Der vom Rekurrenten 1 am 31. Dezember 2020 geleistete Kos- tenvorschuss von Fr. 700.– ist mit der Entscheidgebühr in gleicher Höhe ist zu verrechnen, der von der Rekurrentin 2 am 8. Januar 2021 geleistete Kostenvorschuss von Fr. 1'800.– ist zurückzuerstatten und der von der Rekurrentin 3 ebenfalls am 8. Januar 2021 einbezahlte Kostenvorschuss von Fr. 1'800.– ist anzurechnen.</w:t>
      </w:r>
    </w:p>
    <w:p>
      <w:r>
        <w:rPr>
          <w:b/>
        </w:rPr>
        <w:t>E. 10</w:t>
      </w:r>
    </w:p>
    <w:p>
      <w:r>
        <w:t>Der Rekurrent 1 und die Rekurrentinnen 2 und 3 sowie die Rekursgeg- nerin 1, der Rekursgegner 2 und die Rekursgegnerin 3 stellen ein Be- 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 wendung (Art. 98ter VRP). Nicht anwaltlich vertretene Verfahrensbetei- ligte haben grundsätzlich mangels eines besonderen Aufwands keinen Anspruch auf eine ausseramtliche Entschädigung (Art. 98ter VRP in Verbindung mit Art. 95 Abs. 3 Bst. c ZPO). Dass ihnen gleichwohl er- satzfähige Kosten für Umtriebe erwachsen, ist ungewöhnlich und be- darf deshalb einer besonderen Begründung. Eine Umtriebsentschädi- gung erfolgt somit nur ausnahmsweise, insbesondere wenn es sich um eine komplizierte Sache mit hohem Streitwert handelt, wenn der getätigte Aufwand erheblich ist und zwischen dem betrieblichen Auf- wand und dem Ergebnis der Interessenwahrung ein vernünftiges Ver- hältnis besteht.</w:t>
      </w:r>
    </w:p>
    <w:p>
      <w:r>
        <w:rPr>
          <w:b/>
        </w:rPr>
        <w:t>E. 10.2</w:t>
      </w:r>
    </w:p>
    <w:p>
      <w:r>
        <w:t>Die Rekurrentin 2, die Rekursgegnerin 1, der Rekursgegner 2 und die Rekursgegnerin 3 obsiegen mit ihren Anträgen. Da das Ver- fahren zudem in tatsächlicher und rechtlicher Hinsicht Schwierigkeiten</w:t>
      </w:r>
    </w:p>
    <w:p>
      <w:r>
        <w:t>Entscheid des Bau- und Umweltdepartementes SG (Nr. 47/2022), Seite 25/27</w:t>
      </w:r>
    </w:p>
    <w:p>
      <w:r>
        <w:t>bot, die den Beizug eines Rechtsvertreters rechtfertigen, besteht grundsätzlich Anspruch auf eine ausseramtliche Entschädigung (Art. 98bis VRP). Die nicht anwaltlich Vertretenen haben ihr Kostenbe- gehren nicht begründet, und auch sonst ist nicht ersichtlich, dass ein erheblicher Aufwand angefallen wäre, der eine ausnahmsweise Um- triebsentschädigung rechtfertigen würde, weshalb den nicht Vertrete- nen keine Umtriebsentschädigung zuzusprechen ist. Ohne Kosten- note ist die ausseramtliche Entschädigung im Rekursverfahren 1 be- treffend die Kostenverlegung für die einzige anwaltlich vertretene Ver- fahrensbeteiligte in Anwendung von Art. 6 in Verbindung mit Art. 22 der Honorarordnung (sGS 963.75) ermessensweise auf Fr. 500.– fest- zulegen; sie ist vom Rekurrenten 1 zu bezahlen. Mangels Begründung für die verlangte Mehrwertsteuer ist diese nach Art. 29 HonO nicht hin- zuzurechnen.</w:t>
      </w:r>
    </w:p>
    <w:p>
      <w:r>
        <w:t>Entscheid des Bau- und Umweltdepartementes SG (Nr. 47/2022), Seite 26/27</w:t>
      </w:r>
    </w:p>
    <w:p>
      <w:r>
        <w:t>Entscheid 1.</w:t>
      </w:r>
    </w:p>
    <w:p>
      <w:r>
        <w:t>a) Der Rekurs von A.___, wird abgewiesen.</w:t>
      </w:r>
    </w:p>
    <w:p>
      <w:r>
        <w:t>b) Der Rekurs der Stiftung B.___ wird gutgeheissen, die Ziff. 3 der Beschluss der Baubewilligungskommission Y.___ vom 20. November 2020 aufgehoben und die Einsprache der Stiftung B.___ gutgeheis- sen.</w:t>
      </w:r>
    </w:p>
    <w:p>
      <w:r>
        <w:t>c) Der Rekurs von C.___ wird abgewiesen, soweit darauf eingetreten werden kann.</w:t>
      </w:r>
    </w:p>
    <w:p>
      <w:r>
        <w:t>2.</w:t>
      </w:r>
    </w:p>
    <w:p>
      <w:r>
        <w:t>a) A.___ bezahlt für das Rekursverfahren Nr. 20-10049 eine Ent- scheidgebühr von Fr. 700.–. Der von ihm am 31. Dezember 2020 in gleicher Höhe geleistete Kostenvorschuss wird verrechnet.</w:t>
      </w:r>
    </w:p>
    <w:p>
      <w:r>
        <w:t>b) Die Politische Gemeinde Z.___ bezahlt für das Rekursverfahren Nr. 20-10053 eine Entscheidgebühr von Fr. 1'000.–. Auf die Erhebung der Kosten wird verzichtet. Der von der Stiftung B.___ am 8. Januar 2021 geleistete Kostenvorschuss von Fr. 1'800.– wird zurückerstattet.</w:t>
      </w:r>
    </w:p>
    <w:p>
      <w:r>
        <w:t>c) C.___ bezahlt für das Rekursverfahren Nr. 20-10073 eine Ent- scheidgebühr von Fr. 3'000.–. Der von ihr am 8. Januar 2021 im Be- trag von Fr. 1'800.– geleistete Kostenvorschuss wird angerechnet.</w:t>
      </w:r>
    </w:p>
    <w:p>
      <w:r>
        <w:t>3.</w:t>
      </w:r>
    </w:p>
    <w:p>
      <w:r>
        <w:t>a) Im Rekursverfahren Nr. 20-10049 wird das Begehren von A.___ um Ersatz der ausseramtlichen Kosten abgewiesen und dasjenige von C.___ gutgeheissen. A.___ entschädigt sie ausseramtlich mit Fr. 500.–.</w:t>
      </w:r>
    </w:p>
    <w:p>
      <w:r>
        <w:t>b) Im Rekursverfahren Nr. 20-10053 werden die Begehren der Stif- tung B.___ und von A.___ um Ersatz der ausseramtlichen Kosten ab- gewiesen.</w:t>
      </w:r>
    </w:p>
    <w:p>
      <w:r>
        <w:t>c) Im Rekursverfahren Nr. 20-10073 werden die Begehren von C.___, A.___ und D.___ um Ersatz der ausseramtlichen Kosten abge- wiesen.</w:t>
      </w:r>
    </w:p>
    <w:p>
      <w:r>
        <w:t>Entscheid des Bau- und Umweltdepartementes SG (Nr. 47/2022), Seite 27/27</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