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19-4869 vom 7. Dezember 2021</w:t>
      </w:r>
    </w:p>
    <w:p>
      <w:r>
        <w:t>SG Gerichte, 2021-12-07, DE</w:t>
      </w:r>
    </w:p>
    <w:p>
      <w:r>
        <w:rPr>
          <w:b/>
        </w:rPr>
        <w:t xml:space="preserve">Quelle: </w:t>
      </w:r>
      <w:r>
        <w:t>https://mcp.opencaselaw.ch/entscheid/sg_publikationen_19-4869</w:t>
      </w:r>
    </w:p>
    <w:p>
      <w:r>
        <w:t>FR: SG_PUBLIKATIONEN 19-4869 du 7 décembre 2021</w:t>
      </w:r>
    </w:p>
    <w:p>
      <w:r>
        <w:t>IT: SG_PUBLIKATIONEN 19-4869 del 7 dicembre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Die Rekursgegnerin bringt vor, dass die Rekurrentin durch die geltend gemachte Verkehrsgefährdung durch die Abstellplätze entlang</w:t>
      </w:r>
    </w:p>
    <w:p>
      <w:r>
        <w:t>Entscheid des Bau- und Umweltdepartementes SG (Nr. 80/2021), Seite 9/15</w:t>
      </w:r>
    </w:p>
    <w:p>
      <w:r>
        <w:t>der G.___strasse gar nicht in ihren schutzwürdigen Interessen betrof- fen sei.</w:t>
      </w:r>
    </w:p>
    <w:p>
      <w:r>
        <w:rPr>
          <w:b/>
        </w:rPr>
        <w:t>E. 1.3.1</w:t>
      </w:r>
    </w:p>
    <w:p>
      <w:r>
        <w:t>Nach Art. 45 Abs. 1 VRP ist zur Erhebung eines Rekurses be- rechtigt, wer an der Änderung oder Aufhebung der Verfügung oder des Entscheids ein eigenes schutzwürdiges Interesse dartut. Schutzwür- dig ist es, wenn der Betroffene rechtlich geschützte Interessen geltend macht oder wenn eine Verfügung oder ein Entscheid seine tatsächli- che Interessenlage mehr berührt als irgendeinen Dritten oder die All- gemeinheit (GEISSER/ZOGG, in: Rizvi/Schindler/Cavelti [Hrsg.], Praxis- kommentar zum Gesetz über die Verwaltungsrechtspflege, Zü- rich/St.Gallen 2020, Art. 45 N 12, CAVELTI/VÖGELI, Verwaltungsge- richtsbarkeit im Kanton St.Gallen, St.Gallen 2003, Rz. 390 mit Hinwei- sen). Die Rechtsmittelbefugnis wird verneint, wenn jemand mit der Prozessführung nicht eigene, sondern Interessen Dritter oder Allge- meininteressen verfolgt (CAVELTI/VÖGELI, a.a.O., Rz. 387 f.).</w:t>
      </w:r>
    </w:p>
    <w:p>
      <w:r>
        <w:rPr>
          <w:b/>
        </w:rPr>
        <w:t>E. 1.3.2</w:t>
      </w:r>
    </w:p>
    <w:p>
      <w:r>
        <w:t>Nach der bundesgerichtlichen Rechtsprechung sind Nachbarn zur Beschwerdeführung gegen ein Bauvorhaben legitimiert, wenn sie mit Sicherheit oder zumindest grosser Wahrscheinlichkeit durch Im- missionen (Lärm, Staub, Erschütterungen, Licht oder andere Einwir- kungen) betroffen werden, die der Bau oder Betrieb der fraglichen An- lage hervorruft. Als wichtiges Kriterium zur Beurteilung der Betroffen- heit dient in der Praxis die räumliche Distanz zum Bauvorhaben bzw. zur Anlage. Die Rechtsprechung bejaht in der Regel die Legitimation von Nachbarn, deren Liegenschaften sich in einem Umkreis von bis zu rund 100 m befinden (Urteil des Bundesgerichtes 1C_286/2020 vom 15. Dezember 2020 Erw. 2.4). Bei grösseren Entfernungen muss eine Beeinträchtigung aufgrund der konkreten Gegebenheiten glaubhaft gemacht werden. Es darf allerdings nicht schematisch auf einzelne Kriterien (insbesondere Distanzwerte) abgestellt werden; vielmehr ist eine Gesamtwürdigung anhand der konkreten Verhältnisse vorzuneh- men. Besteht die spezifische Beziehungsnähe, sind alle Rügen zuläs- sig, die sich rechtlich oder tatsächlich in dem Sinn auf die Stellung des Nachbarn auswirken, dass ihm im Fall des Obsiegens ein praktischer Nutzen entsteht. Ein praktischer Nutzen ist zu bejahen, wenn das Durchdringen von Rügen dazu führen würde, dass das Bauvorhaben im die Beschwerdeführer belastenden Bereich nicht oder anders rea- lisiert würde als geplant. Das schutzwürdige Interesse besteht im Um- stand, einen materiellen oder ideellen Nachteil zu vermeiden, den der angefochtene Entscheid mit sich bringen würde (Urteil des Bundesge- richtes 1C_313/2019 vom 28. April 2020 Erw. 2.3 mit Hinweisen).</w:t>
      </w:r>
    </w:p>
    <w:p>
      <w:r>
        <w:rPr>
          <w:b/>
        </w:rPr>
        <w:t>E. 1.3.3</w:t>
      </w:r>
    </w:p>
    <w:p>
      <w:r>
        <w:t>Die Rekurrentin ist Miteigentümerin des unmittelbar östlich an das Baugrundstück angrenzenden Grundstücks Nr. 003. Damit muss die besondere Betroffenheit nicht näher begründet werden.</w:t>
      </w:r>
    </w:p>
    <w:p>
      <w:r>
        <w:rPr>
          <w:b/>
        </w:rPr>
        <w:t>E. 1.3.4</w:t>
      </w:r>
    </w:p>
    <w:p>
      <w:r>
        <w:t>Soweit die Rekurrentin eine Verletzung des rechtlichen Gehörs weiterer Einspracheberechtigter rügt, ist sie nicht in ihren eigenen schutzwürdigen Interessen betroffen. Auf den Rekurs ist diesbezüglich nicht einzutreten. Im Übrigen ist auf den Rekurs einzutreten.</w:t>
      </w:r>
    </w:p>
    <w:p>
      <w:r>
        <w:t>Entscheid des Bau- und Umweltdepartementes SG (Nr. 80/2021), Seite 10/15</w:t>
      </w:r>
    </w:p>
    <w:p>
      <w:r>
        <w:rPr>
          <w:b/>
        </w:rPr>
        <w:t>E. 2</w:t>
      </w:r>
    </w:p>
    <w:p>
      <w:r>
        <w:t>In formeller Hinsicht beanstandet die Rekurrentin, dass die Vernehmlassung der Rekursgegnerin verspätet und daher aus dem Recht zu weisen sei.</w:t>
      </w:r>
    </w:p>
    <w:p>
      <w:r>
        <w:t>Mit Schreiben vom 15. Juli 2019 wurde die Rekursgegnerin zur Ver- nehmlassung eingeladen. Ihre Vernehmlassung vom 7. Oktober 2019 wurde zweifelsfrei verspätet eingereicht. Die Rekurrentin geht davon aus, dass es sich bei einer Vernehmlassungsfrist um eine Verwir- kungsfrist handelt. Bei der Verwirkung geht ein Recht unter, wenn der Berechtigte eine Handlung, die er nach Gesetz binnen einer bestimm- ten Frist zu vollziehen hat, unterlässt (IMBODEN/RHINOW, Schweizeri- sche Verwaltungsrechtsprechung, Bd. I, Basel und Stuttgart 1976, Nr. 34 B VII, S. 205). Bei einer Vernehmlassungsfrist handelt es sich aber nicht um eine gesetzliche Verwirkungsfrist, sondern um eine Ord- nungsfrist, deren Nichteinhaltung praxisgemäss keine unmittelbaren Folgen zeitigt (anderer Meinung: T. ZUBER-HAGEN, in: Rizvi/Schind- ler/Cavelti [Hrsg.], Gesetz über die Verwaltungsrechtspflege, Zü- rich/St.Gallen 2020, Art. 53 N 37). Der Europäische Gerichtshof für Menschenrechte hält in seinem Urteil vom 28. Juni 2001 (publiziert in: VPB 65, Nr. 129 sowie ZBl 102/2001 S. 662 ff.) fest, dass die Garantie eines fairen Verfahrens, wie sie in Art. 6 Ziff. 1 der Europäischen Men- schenrechtskonvention (SR 0.101; abgekürzt EMRK) statuiert wird, das Recht aller Parteien beinhaltet, von allen eingereichten Stellung- nahmen und Beweismitteln Kenntnis zu nehmen und sich dazu zu äus- sern. Dies gilt unabhängig davon, ob die von der Gegenpartei oder der Vorinstanz eingereichten Stellungnahmen nach weiteren Bemerkun- gen rufen oder nicht. Wird diese Möglichkeit nicht gewährt, steht das Vertrauen der Beteiligten in das Funktionieren der Justiz auf dem Spiel, welches unter anderem auf der Gewissheit der Beteiligten be- ruht, sich zu sämtlichen Aktenstücken äussern zu können. Die Praxis des Gerichtshofes ist auch für das Verwaltungsverfahren von grosser Tragweite, so kann eine weitere Stellungnahme oder Eingabe eines Beteiligten nicht mehr aus dem Recht gewiesen werden (Baudeparte- ment SG, Juristische Mitteilungen 2002/II/17). Diese Auffassung stützt auch das Verwaltungsgericht, indem es ausführt, dass sich die Ver- pflichtung zur Berücksichtigung von (echten oder unechten) Noven im verwaltungsgerichtlichen Verfahren aus Art. 6 Ziff. 1 EMRK ergibt (VerwGE B 2018/235 vom 21. November 2019 Erw. 1). Zudem hätte eine Säumnisfolge nach Art. 17 Abs. 2 VRP zumindest angedroht wer- den müssen, wenn eine verspätete Eingabe nicht hätte berücksichtigt werden können (vgl. ZUBER-HAGEN, a.a.O., Art. 53 N 37), was vorlie- gend nicht geschehen ist (vgl. BDE Nr. 4/2020 vom 21. Januar 2020 Erw. 3). Die verspätete Vernehmlassung der Rekursgegnerin ist daher entgegenzunehmen. Die weiteren Eingaben der Rekursgegnerin (ins- besondere zu den Amtsberichten des TBA sowie zum Augenschein- protokoll) sind ohnehin rechtzeitig erfolgt.</w:t>
      </w:r>
    </w:p>
    <w:p>
      <w:r>
        <w:rPr>
          <w:b/>
        </w:rPr>
        <w:t>E. 3</w:t>
      </w:r>
    </w:p>
    <w:p>
      <w:r>
        <w:t>Entscheid des Bau- und Umweltdepartementes SG (Nr. 80/2021), Seite 11/15</w:t>
      </w:r>
    </w:p>
    <w:p>
      <w:r>
        <w:t>Die Rekurrentin rügt eine Verletzung von grundlegenden Verfahrens- vorschriften sowie des rechtlichen Gehörs, weil die Vorinstanz Bauge- suchspläne der Rekursgegnerin ausgetauscht und bewilligt habe.</w:t>
      </w:r>
    </w:p>
    <w:p>
      <w:r>
        <w:rPr>
          <w:b/>
        </w:rPr>
        <w:t>E. 3.1</w:t>
      </w:r>
    </w:p>
    <w:p>
      <w:r>
        <w:t>Es wird nicht gerügt, dass ein falsches Verfahren angewendet worden wäre, sondern lediglich, dass die Verfahrensvorschriften nicht eingehalten worden wären. Nach Art. 15 Abs. 1 VRP ist Personen und Behörden, gegen die sich eine Eingabe richtet, grundsätzlich das rechtliche Gehör zu gewähren. Der Anspruch auf rechtliches Gehör umfasst im Wesentlichen das Recht, sich vor Erlass eines in die Rechtsstellung des Betroffenen eingreifenden Entscheids zu äussern, erhebliche Beweise beizubringen und Einsicht in die Akten zu neh- men; zudem besteht ein Anspruch darauf, dass die Äusserungen der Beteiligten durch die betreffende Instanz ernsthaft geprüft und die Gründe für die Entscheidung genannt und der getroffene Entscheid mitgeteilt werden (CAVELTI/VÖGELI, a.a.O., Rz. 78 mit weiteren Hinwei- sen; RIZVI/RISI, in: Rizvi/Schindler/Cavelti [Hrsg.], Praxiskommentar zum Gesetz über die Verwaltungsrechtspflege, Zürich/St.Gallen 2020, Art. 15 N 17 ff.). Der Anspruch auf rechtliches Gehör ist formeller Na- tur, seine Verletzung führt in der Regel zu einer Aufhebung des ange- fochtenen Entscheids. Eine Heilung des Mangels im Rechtsmittelver- fahren ist jedoch ausnahmsweise möglich, wenn die Rechtsmitte- linstanz über die gleiche Kognition wie die Vorinstanz verfügt, sie diese auch tatsächlich ausübt und damit dem Betroffenen die Möglichkeit geboten wird, das Versäumte nachzuholen (CAVELTI/VÖGELI, a.a.O., Rz. 81). Die Heilung des rechtlichen Gehörs im Rechtsmittelverfahren wird insbesondere dann als zulässig erachtet, wenn die Rückweisung zu einem formalistischen Leerlauf und damit zu unnötigen Verzöge- rungen führen würde (P. SUTTER, in: Auer/Müller/Schindler [Hrsg.], Kommentar zum Bundesgesetz über das Verwaltungsverfahren, Bern 2008, N 18 zu Art. 29; BGE 133 I 201 Erw. 2.2; 132 V 387 Erw. 5.1; Urteil des Bundesgerichtes C_154/2003 vom 16. Februar 2004 Erw. 2.4). Dem Umstand, dass sich ein Betroffener erst vor einer hö- heren Instanz hat äussern können, ist jedenfalls im Kostenpunkt Rech- nung zu tragen (MERKLI/AESCHLIMANN/HERZOG, Kommentar zum Ge- setz über die Verwaltungsrechtspflege im Kanton Bern, Bern 1997, N 16 zu Art. 21; BDE Nr. 83/2015 vom 14. Dezember 2015 Erw. 2.1).</w:t>
      </w:r>
    </w:p>
    <w:p>
      <w:r>
        <w:rPr>
          <w:b/>
        </w:rPr>
        <w:t>E. 3.2</w:t>
      </w:r>
    </w:p>
    <w:p>
      <w:r>
        <w:t>Ein Bestandteil des Baugesuchs wurde durch den überarbeite- ten Umgebungsplan ersetzt, welcher dem Rechtsvertreter der Rekur- rentin von der Vorinstanz mit Schreiben vom 24. April 2019 zur Kennt- nis gebracht wurde. Dieser reichte in der Folge eine Stellungnahme dazu ein. Inwiefern das rechtliche Gehör verletzt worden wäre, ist nicht ersichtlich und wird auch nicht näher dargetan. Dieser überarbeitete Umgebungsplan ist allerdings nicht mehr Bestandteil des angefochte- nen Baugesuchs (und damit auch nicht mehr Gegenstand des vorlie- genden Rekurses), da dieser durch den Umgebungsplan vom 5. Mai 2021 ersetzt wurde. Daher hätte selbst eine tatsächliche Gehörsver- letzung diesbezüglich lediglich Auswirkungen auf die Kostenverteilung gehabt.</w:t>
      </w:r>
    </w:p>
    <w:p>
      <w:r>
        <w:t>Entscheid des Bau- und Umweltdepartementes SG (Nr. 80/2021), Seite 12/15</w:t>
      </w:r>
    </w:p>
    <w:p>
      <w:r>
        <w:rPr>
          <w:b/>
        </w:rPr>
        <w:t>E. 4</w:t>
      </w:r>
    </w:p>
    <w:p>
      <w:r>
        <w:t>Die Rekurrentin macht eine unzureichende Erschliessung geltend. Es seien zusätzliche strassenbauliche Massnahmen notwendig, nämlich die Verlängerung der H.___strasse und die Wegverbindung zur G.___strasse. Auch sei offenkundig, dass die Nutzung der zahlreichen auf die Strasse führenden Parkplätze zu einer Verkehrsgefährdung führe.</w:t>
      </w:r>
    </w:p>
    <w:p>
      <w:r>
        <w:rPr>
          <w:b/>
        </w:rPr>
        <w:t>E. 4.1</w:t>
      </w:r>
    </w:p>
    <w:p>
      <w:r>
        <w:t>Für das gleiche Grundstück können gleichzeitig mehrere Bau- gesuche eingereicht werden. Es steht dem Bauherrn dabei frei, wel- ches der bewilligten Projekte er verwirklichen will. Das Korrekturbau- gesuch demgegenüber ersetzt bzw. ergänzt das ursprüngliche Bauge- such in den geänderten Punkten. Mit der Bewilligung der Korrektur wird die ursprüngliche Bewilligung im geänderten Teil ersetzt. In die- sem Fall kann der Bauherr bloss noch das bewilligte Projekt gemäss bewilligtem Korrekturgesuch realisieren. Ein Korrekturbaugesuch zur Verbesserung von Punkten, die mit den öffentlich-rechtlichen bau- rechtlichen Bestimmungen nicht im Einklang stehen, ist zulässig und entspricht einer gängigen Praxis.</w:t>
      </w:r>
    </w:p>
    <w:p>
      <w:r>
        <w:rPr>
          <w:b/>
        </w:rPr>
        <w:t>E. 4.2</w:t>
      </w:r>
    </w:p>
    <w:p>
      <w:r>
        <w:t>Die Rekursgegnerin hatte während des Rekursverfahrens bei der Vorinstanz ein Korrekturgesuch mit der Projektänderung vom</w:t>
      </w:r>
    </w:p>
    <w:p>
      <w:r>
        <w:rPr>
          <w:b/>
        </w:rPr>
        <w:t>E. 5</w:t>
      </w:r>
    </w:p>
    <w:p>
      <w:r>
        <w:t>Ebenfalls gegenstandslos ist die Forderung nach einem Benützungs- verbot. Es liegt eine rechtskräftige Baueinstellungsverfügung samt Be- nützungsverbot vor.</w:t>
      </w:r>
    </w:p>
    <w:p>
      <w:r>
        <w:rPr>
          <w:b/>
        </w:rPr>
        <w:t>E. 6</w:t>
      </w:r>
    </w:p>
    <w:p>
      <w:r>
        <w:t>Zusammenfassend ergibt sich, dass die Rekurrentin hinsichtlich der mangelnden hinreichenden Erschliessung zu Recht Rekurs erhoben</w:t>
      </w:r>
    </w:p>
    <w:p>
      <w:r>
        <w:t>Entscheid des Bau- und Umweltdepartementes SG (Nr. 80/2021), Seite 13/15</w:t>
      </w:r>
    </w:p>
    <w:p>
      <w:r>
        <w:t>hat. Gegen das zwischenzeitlich rechtskräftige Korrekturgesuch hat sie keine Einsprache bzw. keinen Rekurs erhoben. Dieses ersetzt die ursprüngliche (und angefochtene) Umgebungsgestaltung mit Parkie- rungsanlagen. Der Rekurs erweist sich in diesen Punkten daher als gegenstandslos. Da sich der Rekurs auch in den übrigen Punkten als unbegründet erweist, ist er abzuweisen, soweit darauf einzutreten ist.</w:t>
      </w:r>
    </w:p>
    <w:p>
      <w:r>
        <w:rPr>
          <w:b/>
        </w:rPr>
        <w:t>E. 7.1</w:t>
      </w:r>
    </w:p>
    <w:p>
      <w:r>
        <w:t>Nach Art. 95 Abs. 1 VRP hat in Streitigkeiten jener Beteiligte die Kosten zu tragen, dessen Begehren ganz oder teilweise abgewiesen werden. Die Entscheidgebühr beträgt Fr. 3'600.– (Nr. 20.13.01 des Gebührentarifs für die Kantons- und Gemeindeverwaltung, sGS 821.5). Dem Ausgang des Verfahrens entsprechend hat grund- sätzlich die Rekurrentin die amtlichen Kosten zu bezahlen (Art. 96bis VRP). Es ist jedoch dem Umstand Rechnung zu tragen, dass das strei- tige Baugesuch mit einem Mangel behaftet war, der durch das wäh- rend des Rekursverfahrens eingereichte Korrekturgesuch behoben wurde. Damit wurde der Rekurs in diesem Punkt gegenstandslos, wo- bei die Gegenstandslosigkeit von der Rekursgegnerin verursacht wurde. Daher rechtfertigt es sich, die amtlichen Kosten des Rekurs- verfahrens je hälftig der Rekurrentin und der Rekursgegnerin aufzuer- legen.</w:t>
      </w:r>
    </w:p>
    <w:p>
      <w:r>
        <w:rPr>
          <w:b/>
        </w:rPr>
        <w:t>E. 7.2</w:t>
      </w:r>
    </w:p>
    <w:p>
      <w:r>
        <w:t>Der Anteil der Rekurrentin wird mit dem von ihr am 10. Juli 2019 geleisteten Kostenvorschuss von Fr. 1'800.– verrechnet.</w:t>
      </w:r>
    </w:p>
    <w:p>
      <w:r>
        <w:rPr>
          <w:b/>
        </w:rPr>
        <w:t>E. 8</w:t>
      </w:r>
    </w:p>
    <w:p>
      <w:r>
        <w:t>Die Rekurrentin und die Rekursgegnerin stellen ein Begehren um Er- 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Dem Ausgang des Verfahrens entsprechend werden die der Re- kurrentin bzw. der Rekursgegnerin jeweils zustehenden ausseramtli- chen Entschädigungen wettgeschlagen; somit besteht kein Anspruch auf ausseramtliche Entschädigungen. Die Begehren der Rekurrentin bzw. der Rekursgegnerin um Ersatz der ausseramtlichen Kosten sind deshalb abzuweisen. Entscheid 1.</w:t>
      </w:r>
    </w:p>
    <w:p>
      <w:r>
        <w:t>Entscheid des Bau- und Umweltdepartementes SG (Nr. 80/2021), Seite 14/15</w:t>
      </w:r>
    </w:p>
    <w:p>
      <w:r>
        <w:t>Der Rekurs von A.___, X.___, wird abgewiesen, soweit darauf eingetreten wird, und dieser nicht bereits gegenstandslos geworden ist.</w:t>
      </w:r>
    </w:p>
    <w:p>
      <w:r>
        <w:t>2.</w:t>
      </w:r>
    </w:p>
    <w:p>
      <w:r>
        <w:t>a) A.___ bezahlt eine anteilsmässige Entscheidgebühr von Fr. 1'800.–.</w:t>
      </w:r>
    </w:p>
    <w:p>
      <w:r>
        <w:t>b) Die B.___ AG, Meilen, bezahlt eine anteilsmässige Entscheid- gebühr von Fr. 1'800.–.</w:t>
      </w:r>
    </w:p>
    <w:p>
      <w:r>
        <w:t>c) Der am 10. Juli 2019 von A.___ geleistete Kostenvorschuss von Fr. 1'800.– wird verrechnet.</w:t>
      </w:r>
    </w:p>
    <w:p>
      <w:r>
        <w:t>Entscheid des Bau- und Umweltdepartementes SG (Nr. 80/2021), Seite 15/15</w:t>
      </w:r>
    </w:p>
    <w:p>
      <w:r>
        <w:t>3.</w:t>
      </w:r>
    </w:p>
    <w:p>
      <w:r>
        <w:t>a) Das Begehren von A.___ um Ersatz der ausseramtlichen Kos- ten wird abgewiesen.</w:t>
      </w:r>
    </w:p>
    <w:p>
      <w:r>
        <w:t>b) Das Begehren der B.___ 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