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19-2307 vom 5. März 2019</w:t>
      </w:r>
    </w:p>
    <w:p>
      <w:r>
        <w:t>SG Gerichte, 2019-03-05, DE</w:t>
      </w:r>
    </w:p>
    <w:p>
      <w:r>
        <w:rPr>
          <w:b/>
        </w:rPr>
        <w:t xml:space="preserve">Quelle: </w:t>
      </w:r>
      <w:r>
        <w:t>https://mcp.opencaselaw.ch/entscheid/sg_publikationen_19-2307</w:t>
      </w:r>
    </w:p>
    <w:p>
      <w:r>
        <w:t>FR: SG_PUBLIKATIONEN 19-2307 du 5 mars 2019</w:t>
      </w:r>
    </w:p>
    <w:p>
      <w:r>
        <w:t>IT: SG_PUBLIKATIONEN 19-2307 del 5 marzo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Der Rekurrent macht zunächst geltend, das AREG habe zu Recht fest- gestellt, dass ein landwirtschaftliches Gewerbe vorliege, welches nicht nur knapp, sondern deutlich über der nach Art. 7 BGBB vorgeschrie- benen Grenze liege. Mit dem vorgesehenen Abtausch von Grundstü- cken und der Zupachtung von Grundstücken in der näheren Umge- bung der zwischenzeitlich im Bau befindlichen neuen Scheune in der Gastermatt könne der Betrieb künftig noch weiter ausgebaut und um den dortigen Standort konzentriert werden, was mit der Befragung von Zeugen bestätigt werden könnte.</w:t>
      </w:r>
    </w:p>
    <w:p>
      <w:r>
        <w:t>Es ist unbestritten, dass der Betrieb des Rekurrenten mit einer Nutz- fläche von rund 15 ha ein landwirtschaftliches Gewerbe im Sinn von Art. 7 BGBB darstellt. Dies ist eine Grundvoraussetzung für die Bewil- ligung von Wohnbauten in der Landwirtschaftszone. Ob der Rekurrent</w:t>
      </w:r>
    </w:p>
    <w:p>
      <w:r>
        <w:t>Entscheid des Baudepartementes SG (Nr. 65/2020), Seite 8/15</w:t>
      </w:r>
    </w:p>
    <w:p>
      <w:r>
        <w:t>oder dessen Sohn zusätzliche Flächen pachten oder eigene Flächen mit den als Zeugen offerierten C.___ und D.___ tatsächlich abtau- schen und dadurch zu weiteren landwirtschaftlichen Nutzflächen im Gebiet Y.___ kommen können, ist für dieses Verfahren nicht relevant. Vorliegend ist bei der Bewilligungsfähigkeit des Betriebsleiterwohn- hauses einzig auf den heutigen Bestand an eigenen und gepachteten Flächen abzustellen. Mithin erübrigt sich die Befragung der beiden of- ferierten Zeugen. Das Beweisangebot ist deshalb abzulehnen.</w:t>
      </w:r>
    </w:p>
    <w:p>
      <w:r>
        <w:rPr>
          <w:b/>
        </w:rPr>
        <w:t>E. 3</w:t>
      </w:r>
    </w:p>
    <w:p>
      <w:r>
        <w:t>Zwischen dem Rekurrenten und dem AREG herrscht Uneinigkeit dar- über, wie gross die tatsächliche Wegdistanz zwischen dem heutigen Betriebszentrum an der K.___gasse und der neuen Scheune in der Y.___ wäre. Der Rekurrent sieht sich durch Fahrverbote einge- schränkt, welche einen Umweg und eine Strecke von 1,6 km mit sich bringen würden und neuerdings (gemäss Ausführungen in der Ein- gabe vom 29. Januar 2020) bei einer direkten Wegstrecke und Miss- achtung der Fahrverbote mit einem Weg von 1,4 km verbunden wäre.</w:t>
      </w:r>
    </w:p>
    <w:p>
      <w:r>
        <w:rPr>
          <w:b/>
        </w:rPr>
        <w:t>E. 3.1</w:t>
      </w:r>
    </w:p>
    <w:p>
      <w:r>
        <w:t>Zum vornherein stösst der Vorwurf ins Leere, wonach die Weg- strecke am Augenschein nicht abgefahren wurde. Das AREG ist bei seiner Beurteilung von einer Wegstrecke von rund 1 km bzw. 1,1 km ausgegangen, wenn hierfür die direkte Verbindung über die L.___strasse und M.___strasse benutzt wird. Dies wurde vom Rekur- renten nie bestritten. Ein Abfahren der Strecke am Augenschein erüb- rigte sich deshalb, zumal für die Ermittlung der Distanz auch techni- sche Hilfsmittel zur Verfügung stehen. Eine Suche mit Google Maps zeigt, dass mit der direkten Verbindung auf dem Fahrrad eine Strecke von 1 km und mit dem vom Rekurrenten angeführten Umweg mit dem Auto eine Strecke von 1,4 km bei einer Fahrt vom heutigen Betriebs- zentrum zur neuen Scheune einhergehen würde.</w:t>
      </w:r>
    </w:p>
    <w:p>
      <w:r>
        <w:t>Auszug aus Google Maps</w:t>
      </w:r>
    </w:p>
    <w:p>
      <w:r>
        <w:t>Auszug aus Google Maps Strecke zu Fuss / mit dem Fahrrad Strecke mit dem Auto</w:t>
      </w:r>
    </w:p>
    <w:p>
      <w:r>
        <w:rPr>
          <w:b/>
        </w:rPr>
        <w:t>E. 3.2</w:t>
      </w:r>
    </w:p>
    <w:p>
      <w:r>
        <w:t>Eine Auseinandersetzung mit der Frage, ob der Rekurrent bei der aktuellen Beschilderung des Fahrverbots mit dem heutigen Zusatz "Zubringerdienst gestattet" die L.___strasse und die M.___strasse be- fahren dürfte, erübrigt sich, weil die von der Vorinstanz am Augen- schein erwähnte Überarbeitung der diversen Fahrverbote bereits weit fortgeschritten ist. So hat die Vorinstanz bereits vor dem Zeitpunkt des Augenscheins diverse Verkehrsanordnungen getroffen. Unter ande- rem wurde für die L.___strasse und die M.___strasse für das Signal "Verbot für Motorwagen und Motorräder" neu der Zusatz "Zubringer- dienst sowie landw. Verkehr gestattet" verfügt. Die öffentliche Auflage</w:t>
      </w:r>
    </w:p>
    <w:p>
      <w:r>
        <w:t>Entscheid des Baudepartementes SG (Nr. 65/2020), Seite 9/15</w:t>
      </w:r>
    </w:p>
    <w:p>
      <w:r>
        <w:t>erfolgte am 10. Oktober 2019 mit einer Einsprachefrist bis 25. Oktober 2019 (https://publikationen.sg.ch/amtliche-publikationen). Der vorma- lige Vertreter des Rekurrenten wurde nach dem Augenschein zusätz- lich mit E-Mail vom 6. November 2019 über diese Publikation infor- miert. Gegen die Verkehrsanordnungen gingen auf dem Gemeindege- biet von Z.___ keine Einsprachen ein. Es ist damit bloss noch eine Frage der Zeit, bis das sich über die Gemeinden Z.___, W.___ und V.___ erstreckende Gesamtverkehrskonzept genehmigt wird und der Rekurrent für die L.___strasse und M.___bachstrasse von dieser Er- leichterung profitieren kann. Damit werden die L.___- und die M.___strasse für Fahrten offenstehen, soweit diese im Zusammen- hang mit der Bewirtschaftung des Wieslands und der neuen Scheune in der Y.___ stehen. Solche Fahrten sind bei einem signalisierten Zu- satz "landwirtschaftlicher Verkehr gestattet" nach Art. 87 der eidgenös- sischen Verkehrsregelnverordnung (SR 741.11) bei einem Fahrverbot grundsätzlich erlaubt.</w:t>
      </w:r>
    </w:p>
    <w:p>
      <w:r>
        <w:rPr>
          <w:b/>
        </w:rPr>
        <w:t>E. 3.3</w:t>
      </w:r>
    </w:p>
    <w:p>
      <w:r>
        <w:t>Eine Strecke von 1,1 km kann mit dem Fahrrad in vier Minuten bzw. zu Fuss in einer Viertelstunde zurückgelegt werden. Der Weg führt von der K.___gasse über die Kantonsstrasse Z.___ – V.___ und die asphaltierten L.___- und M.___strasse. Entgegen den Behauptun- gen des Rekurrenten ist auf dem Rückweg an die K.___gasse bloss ein Höhenunterschied von 30 m zu bewältigen. Eine gute strassen- mässige Erschliessung zwischen dem heutigen Betriebsgebäude an der K.___gasse und dem bewilligten Stall in der Y.___ ist damit ohne weiteres vorhanden. Selbst im Winter kann der bewilligte Stall im Y.___ innert weniger Minuten erreicht werden, weil die Schneeräu- mung der L.___- und der M.___strasse sichergestellt ist.</w:t>
      </w:r>
    </w:p>
    <w:p>
      <w:r>
        <w:rPr>
          <w:b/>
        </w:rPr>
        <w:t>E. 3.4</w:t>
      </w:r>
    </w:p>
    <w:p>
      <w:r>
        <w:t>Zusammenfassend ist somit festzustellen, dass mit der Bewirt- schaftung der Scheune und der damit verbundenen Milchviehhaltung auf Grundstück Nr. 001 eine Strecke von 1,1 km verbunden wäre, wenn diese weiterhin vom heutigen Betriebszentrum an der K.___gasse erfolgen würde.</w:t>
      </w:r>
    </w:p>
    <w:p>
      <w:r>
        <w:rPr>
          <w:b/>
        </w:rPr>
        <w:t>E. 4</w:t>
      </w:r>
    </w:p>
    <w:p>
      <w:r>
        <w:t>Im Rekursverfahren ist umstritten, ob das geplante Betriebsleiterwohn- haus aus betrieblichen Gründen zwingend notwendig und damit an seinem vorgesehenen Standort in der Landwirtschaftszone zonenkon- form ist.</w:t>
      </w:r>
    </w:p>
    <w:p>
      <w:r>
        <w:rPr>
          <w:b/>
        </w:rPr>
        <w:t>E. 4.1</w:t>
      </w:r>
    </w:p>
    <w:p>
      <w:r>
        <w:t>Wohnbauten waren nach der bis 31. August 2000 geltenden Fassung von Art. 16 des eidgenössischen Raumplanungsgesetzes (SR 700; abgekürzt RPG) in der Landwirtschaftszone nur zonenkon- form, wenn sie hinsichtlich Standort und Ausgestaltung in einer unmit- telbaren funktionellen Beziehung zu einem Landwirtschafts- oder Gar- tenbaubetrieb standen und im Hinblick auf die bodenabhängige Nut- zung des Landes als unentbehrlich erschienen. Die bundesgerichtli-</w:t>
      </w:r>
    </w:p>
    <w:p>
      <w:r>
        <w:t>Entscheid des Baudepartementes SG (Nr. 65/2020), Seite 10/15</w:t>
      </w:r>
    </w:p>
    <w:p>
      <w:r>
        <w:t>che Rechtsprechung verlangte, dass der Wohnraum für ein ordnungs- gemässes, zonenkonformes Bewirtschaften des Bodens ein längeres Verweilen am betreffenden Ort erforderte und dieser von der nächst- gelegenen Wohnzone weit entfernt lag. Das Vorrecht, ausserhalb der Bauzone zu wohnen, sollte damit einem relativ engen Personenkreis vorbehalten bleiben. Dazu zählten nur Leute, die als Betriebsinhaber oder Hilfskräfte unmittelbar in der Landwirtschaft tätig waren und ihre Familienangehörigen (BGE 121 II 67 Erw. 3a; 115 Ib 295 Erw. 3a; 113 Ib 138 Erw. 4d).</w:t>
      </w:r>
    </w:p>
    <w:p>
      <w:r>
        <w:t>Art. 16a RPG umschreibt die Zonenkonformität in der Landwirtschafts- zone neu. Danach sind in der Landwirtschaftszone Bauten und Anla- gen zonenkonform, die zur landwirtschaftlichen Bewirtschaftung oder für den produzierenden Gartenbau nötig sind. Die vorgenommene Er- weiterung bezieht sich jedoch nur auf die als zonenkonform anerkann- ten landwirtschaftlichen Nutzungsformen, die sich jetzt nicht mehr al- lein auf die bodenabhängige Produktion beschränken. Dagegen sollte an den strengen Kriterien, welche die bundesgerichtliche Rechtspre- chung für die Zonenkonformität von Wohnbauten aufgestellt hatte, festgehalten werden (vgl. Botschaft des Bundesrates zu einer Teilre- vision des Bundesgesetzes über die Raumplanung vom 22. Mai 1996, BBl 1996 III S. 533; R. MUGGLI, Kurzkommentar zum Entwurf für eine Änderung des Raumplanungsgesetzes vom 20. März 1998, Raum &amp; Umwelt 1998, Art. 16a Rz. 4; Urteil des Bundesgerichtes 1A.19/2001 vom 22. August 2001 Erw. 3b). Davon ging auch der Verordnungsge- ber beim Erlass der neuen konkretisierenden Norm von Art. 34 Abs. 3 der eidgenössischen Raumplanungsverordnung (SR 700.1; abgekürzt RPV) aus. Danach sind Bauten für den Wohnbedarf in der Landwirt- schaftszone zonenkonform, wenn sie für den Betrieb des entsprechen- den landwirtschaftlichen Gewerbes unentbehrlich sind. Das setzt vor- aus, dass aus betrieblichen Gründen die ständige Anwesenheit der bewirtschaftenden Personen erforderlich und die nächste Wohnzone weit entfernt und schwer erreichbar ist (BGE 125 III 175 Erw. 2b; 121 II 307 Erw. 3b, je mit Hinweisen). Art. 34 Abs. 3 RPV kodifiziert die bisherige Rechtsprechung, die weiterhin wegleitend sein soll (Urteil des Bundesgerichts 1A.78/2006 vom 1. Dezember 2006, Erw. 2.3). Wohnraum ausserhalb der Bauzone ist nur zulässig, wenn die Bewirt- schaftung aus objektiven Gründen nicht von der Bauzone aus möglich ist (Urteil des Bundesgerichtes A.179/1987 vom 4. August 1987 Erw. 3a).</w:t>
      </w:r>
    </w:p>
    <w:p>
      <w:r>
        <w:t>Die Beurteilung der Zonenkonformität hängt somit insbesondere von Art und Umfang der betriebsnotwendigen Überwachungsaufgaben, von der Distanz zur nächsten Wohnzone sowie von der Frage ab, ob das Gewerbe hauptberuflich ausgeübt wird. Ist die Betriebsführung auch von einer Wohnzone aus möglich oder verlangen die betriebli- chen Verhältnisse keine dauernde Anwesenheit, fehlt es am erforder- lichen sachlichen Bezug des Bauvorhabens zur landwirtschaftlichen Produktion (B. WALDMANN/P. HÄNNI, Raumplanungsgesetz, Bern 2006, N 14 zu Art. 16a). Auf subjektive Vorstellungen und Wünsche</w:t>
      </w:r>
    </w:p>
    <w:p>
      <w:r>
        <w:t>Entscheid des Baudepartementes SG (Nr. 65/2020), Seite 11/15</w:t>
      </w:r>
    </w:p>
    <w:p>
      <w:r>
        <w:t>des Einzelnen kann es ebenso wenig ankommen wie auf die persönli- che Zweckmässigkeit und Bequemlichkeit (BGE 121 II 67 Erw. 3a mit Hinweisen; Urteile des Bundesgerichtes 1A.78/2006 vom 1. Dezem- ber 2006 Erw. 3.3 und 1C.67/2007 vom 20. September 2007 Erw. 3.1). Die Distanz zur nächstgelegenen Wohnzone bzw. die Zu- mutbarkeit eines Standorts in der Wohnzone stellt nach konstanter bundesgerichtlicher Rechtsprechung ein eigenständiges Kriterium für die Beurteilung der Zonenkonformität bzw. der Standortgebundenheit in der Landwirtschaftszone dar (BGE 123 II 499 Erw. 3b/cc; Urteil des Bundesgerichtes 1C.67/2007 vom 20. September 2007 Erw. 3.3).</w:t>
      </w:r>
    </w:p>
    <w:p>
      <w:r>
        <w:rPr>
          <w:b/>
        </w:rPr>
        <w:t>E. 4.2</w:t>
      </w:r>
    </w:p>
    <w:p>
      <w:r>
        <w:t>Die zwischenzeitlich im Bau befindliche Scheune auf Grund- stück Nr. 001 ist auf den gut ausgebauten und auch im Winter von Schnee geräumten Gemeindestrassen zwar problemlos erreichbar. Die Fahrdistanz zu den heutigen beiden Wohnhäusern des Rekurren- ten und seines Sohns an der K.___gasse liegt mit 1,1 km und einer Distanz zur nächsten Wohnzone von rund 900 m aber deutlich über der vom Bundesgericht noch als zumutbar bezeichneten Entfernung von rund 500 m im Fall der Milchkuhhaltung (Urteil des Bundesgerich- tes 1A.120/1998 vom 21. Juni 1999 Erw. 2d). In einem etwas anderen Entscheid hat das Bundesgericht die Zonenkonformität von neuem Wohnraum in der Landwirtschaftszone bei einem Betrieb bejaht, der bei einer Entfernung von rund einem Kilometer zum bisherigen Wohn- haus eine Nutzfläche von 24 ha mit 25 Grossvieheinheiten ausweisen konnte (Urteil des Bundesgerichtes 1A.130/2000 vom 16. November 2000). Insofern ist nicht ersichtlich, weshalb im vorliegenden Fall ein Anfahrtsweg von 1,1 km noch zumutbar sein sollte. Bei alledem steht die ablehnende Haltung des AREG auch im Widerspruch mit der im eigenen Vollzugshandbuch (Bauen ausserhalb Bauzonen in der Fas- sung vom August 2018) auf Seite 41 wiedergegebenen kantonalen Praxis, wonach es für die Haltung von Milchkühen in der Regel ange- messen und betriebsnotwendig sei, dass der Betriebsleiter in unmittel- barer Nähe des Stalls wohne. Seine dauernde Anwesenheit auf dem Hof sei bei der Milchviehhaltung in der Regel unentbehrlich. Befinde sich das bestehende Betriebsleiterwohnhaus allerdings nicht wesent- lich mehr als 200 m Gehdistanz vom Milchviehstall entfernt in der Bauzone oder liege die Bauzone nur in etwa dieser Distanz vom Stall, gelte die Entfernung zur Bauzone als derart gering, dass die betriebs- notwendigen Überwachungsaufgaben ohne weiteres von dort aus wahrgenommen werden könnten.</w:t>
      </w:r>
    </w:p>
    <w:p>
      <w:r>
        <w:rPr>
          <w:b/>
        </w:rPr>
        <w:t>E. 4.3</w:t>
      </w:r>
    </w:p>
    <w:p>
      <w:r>
        <w:t>Die vom AREG gegen die betriebliche Notwendigkeit des Wohn- hauses beim neuen Stall vorgetragenen Einwendungen vermögen deshalb nicht zu überzeugen, weil sich das heutige Betriebszentrum bzw. die beiden Wohnhäuser des Rekurrenten und von B.___ an der K.___gasse deutlich ausserhalb der bei einer Milchviehhaltung noch zumutbaren Distanz befinden. Weiter kann dem Rekurrenten nicht ent- gegengehalten werden, er zeige mit der im Betriebskonzept vorgese- henen, zeitlich vorgezogenen Erstellung der Scheune auf Grundstück Nr. 001 und der erst auf einen späteren Zeitpunkt hin vorgesehenen Erstellung des Betriebsleiterwohnhauses auf Grundstück Nr. 001</w:t>
      </w:r>
    </w:p>
    <w:p>
      <w:r>
        <w:t>Entscheid des Baudepartementes SG (Nr. 65/2020), Seite 12/15</w:t>
      </w:r>
    </w:p>
    <w:p>
      <w:r>
        <w:t>selbst auf, dass die Bewirtschaftung vom 1,1 km entfernten Betriebs- zentrum zumindest vorläufig zumutbar sei. Im Betriebskonzept wurde nämlich ebenfalls dargelegt, nur durch die Mithilfe des Rekurrenten nach Erreichung des AHV-Alters sei es möglich, nach der Erstellung der Scheune das für das neue Betriebsleiterwohnhaus notwendige Ei- genkapital zu erwirtschaften. Eine Anerkennung der Zumutbarkeit ei- ner langfristigen Bewirtschaftung der neuen Scheune vom heutigen Betriebszentrum an der K.___gasse aus kann dem Rekurrenten unter diesen Umständen nicht entgegengehalten werden. Vielmehr scheint er diesen Zeit- und Fahraufwand bloss vorübergehend in Kauf nehmen zu wollen.</w:t>
      </w:r>
    </w:p>
    <w:p>
      <w:r>
        <w:rPr>
          <w:b/>
        </w:rPr>
        <w:t>E. 4.4</w:t>
      </w:r>
    </w:p>
    <w:p>
      <w:r>
        <w:t>Zusammenfassend ergibt sich, dass eine betriebliche Notwen- digkeit für die Erstellung eines Betriebsleiterwohnhauses in unmittel- barer Nähe der nun im Bau befindlichen Scheune auf Grundstück Nr. 001 grundsätzlich gegeben wäre.</w:t>
      </w:r>
    </w:p>
    <w:p>
      <w:r>
        <w:rPr>
          <w:b/>
        </w:rPr>
        <w:t>E. 5</w:t>
      </w:r>
    </w:p>
    <w:p>
      <w:r>
        <w:t>Im vorinstanzlichen Verfahren wurde indessen offengelassen, ob der Landwirtschaftsbetrieb langfristig existenzfähig bzw. die Erstellung ei- nes neuen Betriebsleiterwohnhauses überhaupt tragbar ist.</w:t>
      </w:r>
    </w:p>
    <w:p>
      <w:r>
        <w:rPr>
          <w:b/>
        </w:rPr>
        <w:t>E. 5.1</w:t>
      </w:r>
    </w:p>
    <w:p>
      <w:r>
        <w:t>Für die Erstellung von Wohnbauten in der Landwirtschaftszone setzt die Zonenkonformität voraus, dass der Betrieb voraussichtlich längerfristig bestehen kann (Art. 34 Abs. 4 Bst. c RPV). Die betriebli- che Existenz muss längerfristig gesichert sein, um zu vermeiden, dass unnötige Bauten bewilligt werden, die nach kurzer Zeit wieder leer ste- hen. Daher ist es notwendig, dass der Gesuchsteller ein Betriebskon- zept vorlegt (Urteil des Bundesgerichtes 1A.177/2003 vom 22. Okto- ber 2003). Daraus erhellt, dass in der Landwirtschaftszone die Ertei- lung einer Baubewilligung nicht nur projekt-, sondern auch personen- bezogen ist, weil das erwähnte Kriterium der Notwendigkeit nur im Zu- sammenhang mit dem künftigen Nutzer respektive dessen Betrieb be- urteilt werden kann.</w:t>
      </w:r>
    </w:p>
    <w:p>
      <w:r>
        <w:rPr>
          <w:b/>
        </w:rPr>
        <w:t>E. 5.2</w:t>
      </w:r>
    </w:p>
    <w:p>
      <w:r>
        <w:t>Nach dem Betriebskonzept soll die Arbeit im Betrieb noch für geraume (und ungewisse Zeit) zur Hauptsache durch den Rekurrenten erbracht werden. Es liegt in der Natur der Sache, dass der heute be- reits im AHV-Alter stehende Rekurrent diese Arbeitsleistung nur noch einige Jahre wird erbringen können. Alsdann soll sein Sohn B.___ den Betrieb übernehmen und die hierfür notwendige Arbeitsleistung erbrin- gen. Mithin gilt es in Bezug auf B.___ als künftigem Nutzer des Be- triebsleiterwohnhauses zu beurteilen, ob er mit seiner künftigen land- wirtschaftlichen Tätigkeit über ein existenzsicherndes Einkommen ver- fügen wird, um die Investitionen in die bereits errichtete Scheune auf Grundstück Nr. 001 und das geplante Betriebsleiterwohnhaus aus dem landwirtschaftlichen Einkommen tilgen zu können. Nach Angaben des Rekurrenten vom 12. Oktober 2016 sollen die Gesamtanlagekos- ten von ca. Fr. 1'520'000.– mit Baulandverkauf (Fr. 500'000.–), einem</w:t>
      </w:r>
    </w:p>
    <w:p>
      <w:r>
        <w:t>Entscheid des Baudepartementes SG (Nr. 65/2020), Seite 13/15</w:t>
      </w:r>
    </w:p>
    <w:p>
      <w:r>
        <w:t>Baukredit (Fr. 550'000.–), Eigenleistungen (Fr. 150'000.–), Eigenmit- teln (Fr. 200'000.–) und einer Restfinanzierung aus dem Betriebskonto (Fr. 120'000.–) finanziert werden.</w:t>
      </w:r>
    </w:p>
    <w:p>
      <w:r>
        <w:rPr>
          <w:b/>
        </w:rPr>
        <w:t>E. 5.3</w:t>
      </w:r>
    </w:p>
    <w:p>
      <w:r>
        <w:t>In den Vorakten befindet sich nur ein Revisionsbericht der X.___ vom 2. August 2017 mit einer Gegenüberstellung der Bilanz und Er- folgsrechnung der beiden Betriebsjahre 2015 und 2016 sowie ein Be- triebsvorschlag des Landwirtschaftlichen Zentrums SG, Kaltbrunn, vom 28. August 2017, für das Betriebsjahr 2018. Zahlenangaben zur Ertragssituation und zur Rentabilität der neuen Scheune in Kombina- tion mit dem geplanten Betriebsleiterwohnhaus auf Grundstück Nr. 001 sind darin jedoch nicht enthalten. Ob und inwieweit der in der Vergangenheit erwirtschaftete Betriebserfolg auch noch für das heute umstrittene Vorhaben mit einem Investitionsvolumen von rund Fr. 1'520'000.– relevant ist, ergibt sich aus den Akten indessen nicht. Weder in den Vorakten noch in der raumplanungsrechtlichen Teilver- fügung finden sich Anhaltspunkte, dass die Wirtschaftlichkeit vom AREG im Detail untersucht worden wäre. Hierfür wären auch die mit der bewilligten Scheune und der damit einhergehenden Milchviehhal- tung zu erwartenden Einnahmen zu berücksichtigen. Stattdessen wurde lediglich festgehalten, dass ein Betriebsleiterwohnhaus aus rein landwirtschaftlicher Sicht kaum tragbar sei.</w:t>
      </w:r>
    </w:p>
    <w:p>
      <w:r>
        <w:rPr>
          <w:b/>
        </w:rPr>
        <w:t>E. 5.4</w:t>
      </w:r>
    </w:p>
    <w:p>
      <w:r>
        <w:t>Somit ergibt sich, dass die Bewilligung des Betriebsleiterwohn- hauses ohne vorherige Prüfung der Wirtschaftlichkeit und nur wegen der fehlenden betrieblichen Notwendigkeit bzw. der angeblich zu ge- ringen Distanz zu den heutigen Wohnhäusern an der K.___gasse ver- weigert wurde.</w:t>
      </w:r>
    </w:p>
    <w:p>
      <w:r>
        <w:rPr>
          <w:b/>
        </w:rPr>
        <w:t>E. 6</w:t>
      </w:r>
    </w:p>
    <w:p>
      <w:r>
        <w:t>Nachdem der rechtserhebliche Sachverhalt nicht vollständig ermittelt wurde, kann die Vorinstanz nicht zur Erteilung der Baubewilligung an- gehalten werden. Es ist deshalb zu prüfen, ob die vollständige Sach- verhaltsabklärung nun von der Rekursinstanz nachzuholen ist.</w:t>
      </w:r>
    </w:p>
    <w:p>
      <w:r>
        <w:rPr>
          <w:b/>
        </w:rPr>
        <w:t>E. 6.1</w:t>
      </w:r>
    </w:p>
    <w:p>
      <w:r>
        <w:t>Die Rekursinstanz kann die Sache zu neuer Entscheidung an die Vorinstanz zurückweisen (Art. 56 Abs. 2 VRP). Eine Rückweisung ist dann geboten, wenn der angefochtene Verwaltungsakt mit formel- len Mängeln behaftet ist und diese im Rechtsmittelverfahren nicht ge- heilt werden können. Ferner ist die neue Verfügung auch dann der Vorinstanz zu überlassen, wenn ausgesprochene Ermessensfragen zu entscheiden sind. Schliesslich drängt sich die Rückweisung auf, wenn die Vorinstanz den rechtserheblichen Sachverhalt nur ungenü- gend ermittelt hat oder im Verfahren umfangreiche Nova vorgebracht worden sind, so dass weitere Abklärungen und Beweiserhebungen nö- tig werden, die vorzunehmen die Vorinstanz aus personellen, fachli- chen oder anderen Gründen allenfalls besser in der Lage ist (CAVELTI/VÖGELI, Verwaltungsgerichtsbarkeit im Kanton St.Gallen, St.Gallen 2003, N 1029 ff.; BDE Nr. 62/2013 vom 9. Oktober 2013 Erw. 3.2).</w:t>
      </w:r>
    </w:p>
    <w:p>
      <w:r>
        <w:t>Entscheid des Baudepartementes SG (Nr. 65/2020), Seite 14/15</w:t>
      </w:r>
    </w:p>
    <w:p>
      <w:r>
        <w:rPr>
          <w:b/>
        </w:rPr>
        <w:t>E. 6.2</w:t>
      </w:r>
    </w:p>
    <w:p>
      <w:r>
        <w:t>Im vorliegenden Fall wird der Rekurrent bei der Sachverhaltsab- klärung mitzuwirken und namentlich sein Betriebskonzept massge- blich zu präzisieren und zu ergänzen haben. Eine Aufhebung des an- gefochtenen Beschlusses und eine Rückweisung zur Abklärung des rechtserheblichen Sachverhaltes drängt sich deshalb auf. Der Rekurs ist im Sinn der Erwägungen gutzuheissen und die Angelegenheit we- gen mangelhafter Sachverhaltsabklärung an die Vorinstanz zurückzu- weisen. Dementsprechend sind der angefochtene Beschluss der Vor- instanz vom 25. Februar 2019 und die Teilverfügung des AREG vom 16. Januar 2019 aufzuheben.</w:t>
      </w:r>
    </w:p>
    <w:p>
      <w:r>
        <w:rPr>
          <w:b/>
        </w:rPr>
        <w:t>E. 7.1</w:t>
      </w:r>
    </w:p>
    <w:p>
      <w:r>
        <w:t>Nach Art. 95 Abs. 1 VRP hat in Streitigkeiten jener Beteiligte die Kosten zu tragen, dessen Begehren ganz oder teilweise abgewiesen werden. Die Entscheidgebühr beträgt Fr. 3'600.– (Nr. 20.13.01 des Gebührentarifs für die Kantons- und Gemeindeverwaltung, sGS 821.5).</w:t>
      </w:r>
    </w:p>
    <w:p>
      <w:r>
        <w:rPr>
          <w:b/>
        </w:rPr>
        <w:t>E. 7.2</w:t>
      </w:r>
    </w:p>
    <w:p>
      <w:r>
        <w:t>Wird in einem Rechtsmittelverfahren gegen die Verweigerung einer Bewilligung nicht nur die Aufhebung des angefochtenen Ent- scheids, sondern auch die Erteilung der Bewilligung bzw. die Rückwei- sung zur Erteilung der Bewilligung beantragt, so obsiegt der Rechts- mittelkläger nur teilweise, wenn der Entscheid wegen mangelnder Sachverhaltsabklärung aufgehoben und an die Vorinstanz zurückge- wiesen wird (R. HIRT, Die Regelung der Kosten nach st.gallischem Verwaltungsrechtspflegegesetz, Lachen/St.Gallen 2004, S. 98). Weil der Rekurrent neben der Aufhebung der Verfügung vom 25. Februar 2019 auch die Erteilung der Bewilligung für das geplante Betriebs- leiterwohnhaus beantragt hat, diese Bewilligung mit dem Rekursent- scheid aber nicht ausgesprochen wird, rechtfertigt sich eine Überbin- dung der amtlichen Kosten im Umfang von Fr. 1'800.– auf den Rekur- renten. Der Restbetrag von Fr. 1'800.– ist der Vorinstanz aufzuerle- gen. Auf die Erhebung des Kostenanteils der Vorinstanz wird in An- wendung von Art. 95 Abs. 3 VRP verzichtet.</w:t>
      </w:r>
    </w:p>
    <w:p>
      <w:r>
        <w:rPr>
          <w:b/>
        </w:rPr>
        <w:t>E. 7.3</w:t>
      </w:r>
    </w:p>
    <w:p>
      <w:r>
        <w:t>Der von B.___ und E.___ am 28. März 2019 geleistete Kosten- vorschuss von Fr. 1'800.– ist zu verrechnen.</w:t>
      </w:r>
    </w:p>
    <w:p>
      <w:r>
        <w:rPr>
          <w:b/>
        </w:rPr>
        <w:t>E. 8</w:t>
      </w:r>
    </w:p>
    <w:p>
      <w:r>
        <w:t>Der Rekurrent stellt ein Begehren um Ersatz der ausseramtlichen Kos- 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Baudepartementes SG (Nr. 65/2020), Seite 15/15</w:t>
      </w:r>
    </w:p>
    <w:p>
      <w:r>
        <w:rPr>
          <w:b/>
        </w:rPr>
        <w:t>E. 8.2</w:t>
      </w:r>
    </w:p>
    <w:p>
      <w:r>
        <w:t>Weil der Rekurrent mit seinen Anträgen teilweise obsiegt und das Verfahren zudem in tatsächlicher und rechtlicher Hinsicht Schwie- rigkeiten bot, die den Beizug eines Rechtsvertreters rechtfertigen, be- steht grundsätzlich Anspruch auf eine ausseramtliche Entschädigung (Art. 98bis VRP). Weil keine Kostennote vorliegt, ist die anteilmässige ausseramtliche Entschädigung in Anwendung von Art. 6 in Verbindung mit Art. 22 der Honorarordnung (sGS 963.75) ermessensweise auf Fr. 1'600.– festzulegen. Sie ist von der Vorinstanz zu bezahlen (siehe hierzu VerwGE B 171/1996 vom 12. Juni 1997). Entscheid 1.</w:t>
      </w:r>
    </w:p>
    <w:p>
      <w:r>
        <w:t>a) Der Rekurs von A.___ wird im Sinn der Erwägungen teilweise gutgeheissen und die Angelegenheit wegen mangelhafter Sachverhaltsabklärung an die Vorinstanz zurückgewiesen.</w:t>
      </w:r>
    </w:p>
    <w:p>
      <w:r>
        <w:t>b) Der Beschluss des Gemeinderates Z.___ vom 25. Februar 2019 und die raumplanungsrechtliche Teilverfügung vom 16. Januar 2019 werden aufgehoben.</w:t>
      </w:r>
    </w:p>
    <w:p>
      <w:r>
        <w:t>2.</w:t>
      </w:r>
    </w:p>
    <w:p>
      <w:r>
        <w:t>a) A.___ bezahlt eine Entscheidgebühr von Fr. 1'800.–.</w:t>
      </w:r>
    </w:p>
    <w:p>
      <w:r>
        <w:t>b) Der am 28. März 2019 von B.___ und E.___ geleistete Kosten- vorschuss von Fr. 1'800.– wird verrechnet.</w:t>
      </w:r>
    </w:p>
    <w:p>
      <w:r>
        <w:t>c) Auf die Erhebung der amtlichen Kosten in der Höhe von Fr. 1'800.– bei der Politischen Gemeinde Z.___ wird verzichtet.</w:t>
      </w:r>
    </w:p>
    <w:p>
      <w:r>
        <w:t>3.</w:t>
      </w:r>
    </w:p>
    <w:p>
      <w:r>
        <w:t>Das Begehren von A.___ um Ersatz der ausseramtlichen Kosten wird teilweise gutgeheissen. Die Politische Gemeinde Z.___ hat A.___ mit Fr. 1'600.– ausseramtlich zu entschädigen.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