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19-21 vom 24. Februar 2020</w:t>
      </w:r>
    </w:p>
    <w:p>
      <w:r>
        <w:t>SG Gerichte, 2020-02-24, DE</w:t>
      </w:r>
    </w:p>
    <w:p>
      <w:r>
        <w:rPr>
          <w:b/>
        </w:rPr>
        <w:t xml:space="preserve">Quelle: </w:t>
      </w:r>
      <w:r>
        <w:t>https://mcp.opencaselaw.ch/entscheid/sg_publikationen_19-21</w:t>
      </w:r>
    </w:p>
    <w:p>
      <w:r>
        <w:t>FR: SG_PUBLIKATIONEN 19-21 du 24 février 2020</w:t>
      </w:r>
    </w:p>
    <w:p>
      <w:r>
        <w:t>IT: SG_PUBLIKATIONEN 19-21 del 24 febbraio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1.3</w:t>
      </w:r>
    </w:p>
    <w:p>
      <w:r>
        <w:t>Am 1. Oktober 2017 ist das Planungs- und Baugesetz (sGS 731.1; abgekürzt PBG) in Kraft getreten und das Baugesetz vom</w:t>
      </w:r>
    </w:p>
    <w:p>
      <w:r>
        <w:rPr>
          <w:b/>
        </w:rPr>
        <w:t>E. 6</w:t>
      </w:r>
    </w:p>
    <w:p>
      <w:r>
        <w:t>Juni 1972 (nGS 8, 134; abgekürzt BauG) aufgehoben worden (Art. 172 Bst. a PBG). Gemäss Art. 173 PBG werden indessen die bei Vollzugsbeginn dieses Erlasses hängigen Baubewilligungsverfahren grundsätzlich nach jenem Recht beurteilt, das im Zeitpunkt des erstin- stanzlichen Entscheids der Baubewilligungsbehörde Gültigkeit hat (Art. 173 PBG). Der erstinstanzliche Einsprache- und Baubewilli- gungsentscheid erging am 13. Dezember 2018 und damit nach dem Inkrafttreten des PBG. Auf das vorliegende Verfahren gelangt deshalb grundsätzlich das PBG zur Anwendung, soweit dessen Bestimmungen nicht erst im kommunalen Zonenplan und Baureglement umgesetzt werden müssen und das bis 30. September 2017 gültige BauG vorerst anwendbar bleibt (vgl. hierzu das Kreisschreiben "Übergangsrechtli- che Bestimmungen im Planungs- und Baugesetz" vom 8. März 2017, in: Baudepartement SG, Juristische Mitteilungen 2017/I/1).</w:t>
      </w:r>
    </w:p>
    <w:p>
      <w:r>
        <w:t>2.</w:t>
      </w:r>
    </w:p>
    <w:p>
      <w:r>
        <w:t>Die Rekurrenten machen geltend, dass es die Vorinstanz und die Re- kursgegnerin unterlassen hätten, den angebotenen Alternativstandort zu prüfen und in Erwägung zu ziehen. Damit machen die Rekurrenten sinngemäss eine Ermessensunterschreitung geltend.</w:t>
      </w:r>
    </w:p>
    <w:p>
      <w:r>
        <w:t>2.1 Die Rekursgegnerin hält dem entgegen, dass die Baubewilli- gung zu erteilen sei, sofern keine im öffentlichen Recht begründeten Hindernisse vorliegen. Daher sei sie auch nicht verpflichtet einen Alternativstandort zu prüfen. Dennoch habe die Rekursgegnerin den vorgeschlagenen Alternativstandort geprüft und der Vorinstanz mit Schreiben vom 17. Juli 2018 mitgeteilt, dass dieser ungeeignet sei.</w:t>
      </w:r>
    </w:p>
    <w:p>
      <w:r>
        <w:t>2.2 Die Baubewilligung ist zu erteilen, wenn keine im öffentlichen Recht begründeten Hindernisse vorliegen (Art. 146 PBG). Sind die ge- setzlichen Voraussetzungen und Bedingungen erfüllt, besteht ein An- spruch auf Erteilung einer Baubewilligung. Soweit die gesetzlichen Vorschriften (insbesondere die Strahlengrenzwerte) eingehalten sind, kann die Baubewilligung für eine Mobilfunkanlage somit grundsätzlich nicht verweigert werden. Ohne entsprechende planungsrechtliche</w:t>
      </w:r>
    </w:p>
    <w:p>
      <w:r>
        <w:t>Entscheid des Baudepartementes SG (Nr. 12/2020), Seite 6/15</w:t>
      </w:r>
    </w:p>
    <w:p>
      <w:r>
        <w:t>Vorschriften des Kantons oder der Gemeinden ist auch nicht zu prü- fen, ob bessere Alternativstandorte vorhanden sind. Weder die zwi- schen den Mobilfunkbetreibern und der Vereinigung der st.gallischen Gemeindepräsidentinnen und -präsidenten (VSGP) abgeschlossene "Vereinbarung über die Standortevaluation und -koordination", noch das zwischen Gemeinden und Mobilfunkbetreibern abgesprochene Di- alogmodell stellen planungsrechtliche Vorschriften dar, aus welchen sich ein klagbarer Anspruch auf einen Alternativstandort ableiten liesse.</w:t>
      </w:r>
    </w:p>
    <w:p>
      <w:r>
        <w:t>2.3 Da kein einklagbarer Anspruch auf einen Alternativstandort be- steht, kann der Vorinstanz auch nicht Ermessensunterschreitung vor- geworfen werden. Sodann erweist sich der Vorwurf ohnehin als unbe- rechtigt. Die Rekursgegnerin hat mit E-Mail vom 16. Januar 2018 die Vorinstanz über den geplanten Standort für den Bau der Mobilfunkan- tenne informiert. Sodann hat die Rekursgegnerin den nach Einrei- chung des Baugesuchs vorgeschlagenen Alternativstandort geprüft und der Vorinstanz mit Schreiben vom 17. Juli 2018 mitgeteilt, dass der geprüfte Standort ungeeignet sei. Der Vorwurf der Rekurrenten er- weist sich somit als unbegründet.</w:t>
      </w:r>
    </w:p>
    <w:p>
      <w:r>
        <w:t>3.</w:t>
      </w:r>
    </w:p>
    <w:p>
      <w:r>
        <w:t>Die Rekurrenten beanstanden, dass die geplante Mobilfunkanlage die Regelbauvorschriften in Bezug auf Höhe und Grenzabstände verlet- zen würde.</w:t>
      </w:r>
    </w:p>
    <w:p>
      <w:r>
        <w:t>3.1 Das Verwaltungsgericht hat bereits im Jahr 2004 entschieden, dass Mobilfunkantennenanlagen keine Gebäude darstellten, die an die Höhenbeschränkungen gemäss Art. 67 Abs. 1 BauG gebunden seien. Bei einer Antennenanlage handelt es sich demnach um eine "eindi- mensionale" technische Infrastruktureinrichtung bzw. um eine Anlage, für welche die Vorschriften über die Gebäudehöhe nicht massgebend sind. Da von einer feingliedrigen Antenne weder die Belichtung noch die Fernsicht wesentlich tangiert wird, ist eine analoge Anwendung von Vorschriften über die Gebäudehöhe grundsätzlich nicht gerecht- fertigt. Dazu kommt, dass Mobilfunkanlagen technisch eine gewisse Höhe aufweisen bzw. die umliegenden Gebäude überragen müssen, damit sie ihre Funktion überhaupt erfüllen können (Baudepartement SG, Juristische Mitteilungen 2004/IV/39 mit Hinweis; BGE 133 II 64 Erw. 5.2). Weiter hat das Verwaltungsgericht im Entscheid B 2013/134 vom 11. November 2014 entschieden, dass Technikbauten, die der Mobilfunkanlage und nicht dem Betrieb des Hochhauses dienten, zwar nicht als technisch bedingte Dachaufbauten, aber als gewöhnliche Dachaufbauten zu qualifizieren seien. Als solche sind sie folglich ein- zig den Beschränkungen für Dachaufbauten unterworfen, wie der Antennenmast selbst müssen sie aber keine Höhenbestimmungen einhalten (Erw. 5.1.2.; www.gerichte.sg.ch; bestätigt durch das Urteil des Bundesgerichtes 1C_7/2015 vom 6. November 2015 Erw. 5 f.).</w:t>
      </w:r>
    </w:p>
    <w:p>
      <w:r>
        <w:t>3.2 Nach dem Gesagten ist die geplante Mobilfunkanlage bau- rechtskonform.</w:t>
      </w:r>
    </w:p>
    <w:p>
      <w:r>
        <w:t>Entscheid des Baudepartementes SG (Nr. 12/2020), Seite 7/15</w:t>
      </w:r>
    </w:p>
    <w:p>
      <w:r>
        <w:t>4.</w:t>
      </w:r>
    </w:p>
    <w:p>
      <w:r>
        <w:t>Die Rekurrenten machen geltend, dass die geplante Mobilfunkanlage nicht dem Zweck der Nutzungszone entspreche. In Rz. 69 ihrer erstin- stanzlichen Vernehmlassung vom 14. Juni 2018 beschreibe die Re- kursgegnerin selber, dass mit der geplanten Anlage vorwiegend, sprich zu 85%, Nichtbauland versorgt werden sollte. Damit könne we- der von einer wesentlichen Abdeckung von Baugebiet ausgegangen werden, noch liege eine funktionelle Beziehung zum geplanten Stand- ort vor.</w:t>
      </w:r>
    </w:p>
    <w:p>
      <w:r>
        <w:t>Die Rekursgegnerin bestreitet, dass aus der erwähnten Vernehmlas- sung herausgelesen werden könne, die geplante Mobilfunkanlage diene überwiegend Nichtbaugebiet. Die Mobilfunkanlage ermögliche eine Versorgung des Siedlungsgebiets in und um das Dorf Z.___ so- wie der Verbindungsstrassen zu den umliegenden Dörfern und deren Siedlungsgebiet. Die Mobilfunkanlage diene damit vornehmlich der Versorgung von Baugebiet, welches um den geplanten Standort liege und sei deshalb ohne weiteres zonenkonform.</w:t>
      </w:r>
    </w:p>
    <w:p>
      <w:r>
        <w:t>4.1 Mobilfunkanlagen sind Infrastruktureinrichtungen, die der Ver- sorgung der Bevölkerung mit Fernmeldediensten dienen. Infrastruktur- anlagen gehören vergleichbar mit Strassen und anderen Versorgungs- anlagen grundsätzlich in die Bauzone. Innerhalb der Bauzone können sie nur als zonenkonform betrachtet werden, soweit sie hinsichtlich Standort und Ausgestaltung in einer unmittelbaren funktionellen Be- ziehung zum Ort stehen, beziehungsweise die Anlage der lokalen Ver- sorgung dient, an dem sie errichtet werden soll, und im Wesentlichen Bauzonenland abdeckt. Die Zonenkonformität einer Infrastrukturbaute kann unter Umständen auch bejaht werden, wenn sie der Ausstattung der Bauzone als Ganzem und nicht nur speziell dem in Frage stehen- den Bauzonenteil dient (BGE 133 II 321; VerwGE B 2013/252 vom 28. Mai 2015 Erw. 2.1).</w:t>
      </w:r>
    </w:p>
    <w:p>
      <w:r>
        <w:t>4.2 In der von den Rekurrenten erwähnten erstinstanzlichen Ver- nehmlassung hat die Rekursgegnerin das versorgte Gebiet wie folgt umschrieben:</w:t>
      </w:r>
    </w:p>
    <w:p>
      <w:r>
        <w:t>Die Senderichtungen 10° und 170° zeigen in Richtung Y.___ und X.___, sodass neben dem südlichen und nördlichen Siedlungsgebiet von Z.___ auch die Ver- bindungsstrassen zu diesen zwei Dörfern versorgt werden können. Auf Grund der guten topografischen Verhältnisse in Richtung X.___ kann sodann ein Teil dessen Siedlungsgebiets mitversorgt werden. Die dritte Senderichtung 275° zeigt in Richtung W.___, so dass neben dem westlichen Siedlungsgebiet von Z.___ auch die Verbindungsstrasse in W.___ versorgt werden kann. Mit der geplanten Mobilfunkanlage wird entsprechend eine Versorgung des Gebiets in und um das Dorf Z.___, der Verbindungsstrassen zu den um- liegenden Dörfern sowie deren Siedlungsgebiet, so- weit auf Grund der topografischen Verhältnisse mög- lich, angestrebt.</w:t>
      </w:r>
    </w:p>
    <w:p>
      <w:r>
        <w:t>Entscheid des Baudepartementes SG (Nr. 12/2020), Seite 8/15</w:t>
      </w:r>
    </w:p>
    <w:p>
      <w:r>
        <w:t>Inwiefern die Rekurrenten aus der zitierten Stellungnahme herausle- sen wollen, dass die Mobilfunkanlage vorwiegend Nichtbaugebiet ab- decke, ist unklar und wird auch nicht weiter dargelegt. Die Mobilfunk- anlage ist im Zentrum des Dorfs Z.___ geplant, wobei die Sendeleis- tung in drei Richtungen (Azimut 10°, 170° und 275°) aufgeteilt wird. Die Sendeleistung ist somit auf die Gemeinden Y.___ (Azimut 10°), X.___ (Azimut 170°) und W.___ (Azimut 225°) gerichtet. Die geplante Mobilfunkanlage kann somit neben dem Dorf Z.___ auch die entspre- chenden Verbindungsstrassen sowie Teile der in Senderichtung ste- hender Gemeinden abdecken. Die Rekursgegnerin möchte dem Be- dürfnis der Wohnbevölkerung nach einer guten Vorsorgung mit Mobil- funkdiensten nachkommen. Damit ist offensichtlich, dass im Wesentli- chen der Bedarf in der Bauzone abgedeckt werden soll. Dies zeigt sich auch deutlich durch die Abdeckungskarte, welche die Rekursgegnerin in Zusammenhang mit der Prüfung des Alternativstandorts erstellt hat (vgl. Schreiben der Rekursgegnerin vom 17. Juli 2018). Sodann ist es in ländlichen Versorgungsgebieten unumgänglich, dass Mobilfunkan- lagen oft neben Baugebieten auch verhältnismässig grosse Nichtbau- gebiete erfassen. Befinden sich diese Anlagen im Baugebiet, bean- spruchen sie kein Nichtbaugebiet und stehen daher im Einklang mit dem Grundsatz der Trennung von Bau- und Nichtbaugebiet. Aus die- sem Grundsatz kann daher nicht abgeleitet werden, dass Mobilfunk- anlagen in der Bauzone nur der lokalen Versorgung des Baugebiets dienen dürfen (BGE 141 II 245 Erw. 2.4). Der Einwand der Rekurren- ten ist somit unbegründet.</w:t>
      </w:r>
    </w:p>
    <w:p>
      <w:r>
        <w:t>5.</w:t>
      </w:r>
    </w:p>
    <w:p>
      <w:r>
        <w:t>Die Rekurrenten machen weiter geltend, dass die geplante Mobilfunk- anlage mitten in einem Einfamilienhausquartier mit ländlich dörflichem Charakter erstellt werden soll. Dies störe das Ortsbild erheblich. Ent- gegen der Behauptung der Vorinstanz befinde sich der Standort nicht in der Nähe des Bahntrasses.</w:t>
      </w:r>
    </w:p>
    <w:p>
      <w:r>
        <w:t>Die Rekursgegnerin stellt sich auf den Standpunkt, dass im vorliegen- den Fall keine über das Verunstaltungsverbot hinausgehenden gestal- terischen Anforderungen bestünden. Eine Mobilfunkanlage verstosse nur dann gegen das Verunstaltungsverbot, wenn ästhetische Werte schwerwiegend beeinträchtigt würden. Der geplante Antennenstand- ort befinde sich bei einem kleinen Technikgebäude, an welchem die Mobilfunkanlage unmittelbar angrenzend erstellt werde. Das Bahntrasse führe nur wenige Meter östlich am geplanten Standort vor- bei. Zudem stünden in unmittelbarer Nähe Strassenlaternen. Ange- sichts dieser vorbestehenden vertikalen Infrastrukturelemente werde der geplante Antennenmast nicht übermässig in Erscheinung treten. Er führe aus praktisch allen Blickrichtungen, wenn überhaupt, zu einer bloss marginalen Beeinträchtigung des Ortsbilds.</w:t>
      </w:r>
    </w:p>
    <w:p>
      <w:r>
        <w:t>5.1 Das Verunstaltungsverbot ist in Art. 99 PBG geregelt und unmit- telbar anwendbar. Inhaltlich deckt sich Art. 99 PBG im Wesentlichen mit Art. 93 BauG (Botschaft und Entwurf der Regierung zum Pla- nungs- und Baugesetz vom 11. August 2015, in: ABl 2015, S. 2489).</w:t>
      </w:r>
    </w:p>
    <w:p>
      <w:r>
        <w:t>Entscheid des Baudepartementes SG (Nr. 12/2020), Seite 9/15</w:t>
      </w:r>
    </w:p>
    <w:p>
      <w:r>
        <w:t>Nach Art. 99 Abs. 1 PBG sind Bauten und Anlagen untersagt, die das Orts- oder Landschaftsbild verunstalten oder Baudenkmäler beein- trächtigen. Darüber hinaus steht es den Gemeinden frei, für Kern- und Schutzzonen sowie für weitere konkret bezeichnete Gebiete vorzu- schreiben, dass Bauten und Anlagen so gestaltet und eingeordnet werden, dass mit der Umgebung zusammen eine gute Gesamtwirkung entsteht (Art. 99 Abs. 2 PBG). Gestützt hierauf (bzw. auf Art. 93 Abs. 4 BauG) hat die Politische Gemeinde Z.___ eine entsprechende Bestim- mung erlassen. Gemäss Art. 10 des geltenden Baureglements (abge- kürzt BauR) haben sich die zulässigen Bauten und Anlagen in der K3 gut in das Orts- und Strassenbild einzufügen. Damit sieht Art. 10 BauR für die K3 ein Einordnungsgebot vor. Das Einordnungsgebot stellt im Vergleich zum blossen Verunstaltungsverbot höhere Anforderungen an die bauliche Gestaltung.</w:t>
      </w:r>
    </w:p>
    <w:p>
      <w:r>
        <w:t>5.2 Im angefochtenen Entscheid hat die Vorinstanz begründet, wa- rum die geplante Mobilfunkanlage nicht übermässig in Erscheinung trete. Jedoch ging die Vorinstanz irrtümlicherweise davon aus, dass keine über das Verunstaltungsverbot hinausgehenden gestalterischen Anforderungen bestünden. Da die Rekursinstanz über volle Kognition verfügt, ist die Frage der Einordnung im Rahmen des vorliegenden Verfahrens zu prüfen.</w:t>
      </w:r>
    </w:p>
    <w:p>
      <w:r>
        <w:t>5.3 Bei einem Einordnungsgebot muss das Bauvorhaben sowohl für sich allein als auch in Zusammenhang mit der baulichen und land- schaftlichen Umgebung beurteilt werden. Besonders zu berücksichti- gen sind charakteristische Gestaltungselemente, die in der Umgebung vorkommen, wie etwa die Materialien und Farben oder die Formge- bung und Proportionen. Je heterogener sich die Umgebung in Bezug auf die charakteristischen Merkmale präsentiert, umso weniger muss ihnen ein Bauvorhaben Rechnung tragen. Die gestalterischen Anfor- derungen an ein Bauvorhaben sind mit anderen Worten weniger hoch, je heterogener sich die Umgebung präsentiert (Baudepartement SG, Juristische Mitteilungen 2006/I/2). Obwohl scheinbar eine positive Ge- staltung verlangt wird, wirkt das Einordnungsgebot negativ: Es soll ver- hindern, dass Bauvorhaben das charakteristische Erscheinungsbild durchbrechen oder stören. Die Vorschrift lässt nicht zu, dass positiv eine bestimmte Gestaltung und architektonische Qualität verlangt wird. Sie verlangt bloss, dass die Bauvorhaben in ausreichendem Mass der Umgebung Rechnung tragen (B. ZUMSTEIN, Die Anwendung der ästhetischen Generalklauseln des kantonalen Baurechts, St.Gal- len 2001, S. 144). Ein wesentlicher Gesichtspunkt bei der Prüfung der Einordnung in das Orts- und Landschaftsbild ist somit die Stärke des Gegensatzes zwischen dem zu beurteilenden Objekt und der beste- henden Umgebung (M. ZINGG, Naturschutz und Heimatschutz, insbe- sondere nach St.Gallischem Recht, Diss. Zürich 1975, S. 89).</w:t>
      </w:r>
    </w:p>
    <w:p>
      <w:r>
        <w:t>5.4 Das im vorliegenden Rekurs massgebliche Gebiet liegt in einem Tal. Das Tal verläuft in Nord-Süd-Richtung, so dass die Topografie westlich und östlich ansteigt. Östlich des Flusses V.___ und parallel</w:t>
      </w:r>
    </w:p>
    <w:p>
      <w:r>
        <w:t>Entscheid des Baudepartementes SG (Nr. 12/2020), Seite 10/15</w:t>
      </w:r>
    </w:p>
    <w:p>
      <w:r>
        <w:t>zu diesem verläuft die Hauptstrasse. An der östlichen Talseite, in er- höhter Lage, verläuft in Nord-Süd-Richtung das Bahntrasse. Die Dis- tanz zum Baugrundstück beträgt Luftlinie etwa 180 m. Der geplante Standort befindet sich in einer Ebene in der K3, welche lediglich</w:t>
      </w:r>
    </w:p>
    <w:p>
      <w:r>
        <w:rPr>
          <w:b/>
        </w:rPr>
        <w:t>E. 6.1</w:t>
      </w:r>
    </w:p>
    <w:p>
      <w:r>
        <w:t>Mit Amtsbericht vom 18. April 2019 führt das AFU aus, dass sich der OMEN Nr. 4 im 2. OG befinde. Bei der Erstellung des Standortda- tenblatts sei jedoch ein Schreibfehler unterlaufen, so dass irrtümlicher- weise das 1. OG vermerkt worden sei. Die Berechnungen seien jedoch von einer Höhe von 5,9 m ausgegangen. Dies entspreche der norma- len Höhe eines 2. OG. Der Anlagegrenzwert könne somit auch beim OMEN Nr. 4 rechnerisch eingehalten werden.</w:t>
      </w:r>
    </w:p>
    <w:p>
      <w:r>
        <w:rPr>
          <w:b/>
        </w:rPr>
        <w:t>E. 6.2</w:t>
      </w:r>
    </w:p>
    <w:p>
      <w:r>
        <w:t>Der Schutz der Bevölkerung vor nichtionisierender Strahlung wird im eidgenössischen Umweltschutzgesetz (SR 814.01; abgekürzt USG) und in der NISV durch die festgelegten Grenzwerte abschlies- send geregelt (BGE 126 II 399 Erw. 3). Dabei sollen Immissionsgrenz- werte für die Hochfrequenzstrahlung insgesamt und Anlagegrenz- werte für die einzelnen Anlagen die Menschen vor übermässiger elekt- romagnetischer Strahlung schützen. Die Immissionsgrenzwerte gelten für alle Orte, wo sich Menschen auch nur kurzfristig aufhalten können (sog. Orte für den kurzfristigen Aufenthalt, OKA, Art. 13 Abs. 1 NISV). Die im Vergleich zu den Immissionsgrenz-werten viel strengeren An- lagegrenzwerte begrenzen die Emissionen vorsorglich. Sie gelten für die Strahlung einer Mobilfunkanlage an Orten mit empfindlicher Nut- zung (OMEN, Art. 3 Abs. 3 NISV). Die Immissionsgrenzwerte sind in Ziff. 11 f. Anhang 2 NISV und die Anlagegrenzwerte in Ziff. 64 Anhang 1 NISV festgelegt.</w:t>
      </w:r>
    </w:p>
    <w:p>
      <w:r>
        <w:rPr>
          <w:b/>
        </w:rPr>
        <w:t>E. 6.3</w:t>
      </w:r>
    </w:p>
    <w:p>
      <w:r>
        <w:t>Ist die Anlage noch nicht errichtet und in Betrieb genommen wor- den, kann die Einhaltung der Immissions- und Anlagegrenzwerte nicht gemessen werden, sondern sie wird berechnet. Grundlage der Be- rechnung ist das vom Inhaber der geplanten Anlage gemäss Art. 11 NISV eingereichte Standortdatenblatt, das die für die Erzeugung von</w:t>
      </w:r>
    </w:p>
    <w:p>
      <w:r>
        <w:t>Entscheid des Baudepartementes SG (Nr. 12/2020), Seite 12/15</w:t>
      </w:r>
    </w:p>
    <w:p>
      <w:r>
        <w:t>Strahlung massgeblichen technischen und betrieblichen Daten der An- lage, den massgebenden Betriebszustand sowie Angaben über die von der Anlage erzeugte Strahlung an den nach der Verordnung mass- gebenden Orten enthält (Urteil des Bundesgerichts 1A.116/2002 vom 17. November 2003 Erw. 3.1). Werden beim vorgesehenen Betrieb der Anlage die in der NISV vorgeschriebenen Grenzwerte gemäss rech- nerischer Prognose eingehalten, so ist die Baubewilligung – vorbehält- lich anderweitiger im öffentlichen Recht begründeter Hindernisse und allenfalls verbunden mit der Pflicht, nach Inbetriebnahme eine Abnah- memessung durchzuführen – zu erteilen.</w:t>
      </w:r>
    </w:p>
    <w:p>
      <w:r>
        <w:rPr>
          <w:b/>
        </w:rPr>
        <w:t>E. 6.4</w:t>
      </w:r>
    </w:p>
    <w:p>
      <w:r>
        <w:t>Gemäss dem Standortdatenblatt beträgt beim OMEN Nr. 4 die berechnete elektrische Feldstärke 4,94 V/m. Damit ist der Anlage- grenzwert von 5,0 V/m eingehalten. Es ist unbestritten, dass sich der OMEN Nr. 4 im 2. OG befindet. Gemäss dem Standortdatenblatt wird der OMEN Nr. 4 aber als "Hauptstrasse Nr.__, 1. OG" bezeichnet. Da- bei handelt es sich – wie das AFU richtig festgestellt hat – offensicht- lich um einen Schreibfehler. So zeigt sich im Aufnahmedossier, dass bei der Detailprojektaufnahme vor der Erstellung des Standortdaten- blatts richtigerweise das 2. OG angekreuzt worden ist. Sodann wurde beim OMEN Nr. 4 die elektrische Feldstärke anhand einer Höhe über Boden von 6,37 m bzw. Höhe über Höhenkote 0 von 5,90 m berechnet. Dies entspricht der üblichen Höhe eines zweiten Obergeschosses. Nach den Berechnungen des AFU ist der Anlagegrenzwert gar bis zu einer Höhe von 6,6 m eingehalten. Somit zeigt sich, dass beim OMEN Nr. 4 der Anlagegrenzwert im 2. OG rechnerisch eingehalten ist. Der Einwand der Rekurrenten ist somit unbegründet.</w:t>
      </w:r>
    </w:p>
    <w:p>
      <w:r>
        <w:t>7.</w:t>
      </w:r>
    </w:p>
    <w:p>
      <w:r>
        <w:t>Die Rekurrenten monieren, dass in der ländlichen Umgebung mit der geplanten Sendeleistung kein vernünftiges Mobilfunknetz betrieben werden könne. Es sei daher davon auszugehen, dass die Sendeleis- tung später verdeckt, ferngesteuert hochgefahren werde. Das Quali- tätssicherungssystem der Rekursgegnerin genüge sodann nicht den Anforderungen an eine wirksame Überwachung der Sendeleistung.</w:t>
      </w:r>
    </w:p>
    <w:p>
      <w:r>
        <w:t>7.1 Art. 12 Abs. 1 NISV schreibt vor, dass die Behörden die Einhal- tung der Emissionsbegrenzungen zu überwachen haben. Die Verord- nung schreibt jedoch nicht vor, auf welche Weise dies zu erfolgen hat. Zur Gewährleistung der Kontrolle, dass die bewilligten Parameter (Senderichtung) der Mobilfunkantennen im Betrieb eingehalten und die Grenzwerte der NISV nicht überschritten werden, hat das Bundes- amt für Umwelt (BAFU) am 16. Januar 2006 in einem Rundschreiben die Einrichtung eines Qualitätssicherungssystems (QS-System) auf den Steuerzentralen der Netzbetreiber empfohlen. Das QS-System soll durch eine unabhängige Stelle periodisch überprüft und beglaubigt werden. Das BAFU führt in seinem Rundschreiben (im Folgenden: Rundschreiben BAFU; einsehbar unter: "www.bafu.ch") aus, gemäss Bundesgericht könne die Einhaltung der bewilligten äquivalenten Strahlungsleistung (ERP) und der bewilligten Senderichtung entweder durch bauliche Begrenzungen oder durch eine verlässliche Kontrolle</w:t>
      </w:r>
    </w:p>
    <w:p>
      <w:r>
        <w:t>Entscheid des Baudepartementes SG (Nr. 12/2020), Seite 13/15</w:t>
      </w:r>
    </w:p>
    <w:p>
      <w:r>
        <w:t>der NIS-relevanten Hardwarekomponenten und Einstellungen ge- währleistet werden. Das BAFU empfiehlt, die zweite vom Bundesge- richt genannte Option zu verfolgen und diese in Form eines QS- Systems der Netzbetreiber umzusetzen. Zu diesem Zweck soll jeder Netzbetreiber eine oder mehrere Datenbanken implementieren, in de- nen für jede Sendeanlage sämtliche Hardware-Komponenten und Ge- räteeinstellungen, welche die Sendeleistung und -richtung beeinflus- sen, erfasst und laufend aktualisiert werden. Das QS-System muss über eine automatisierte Überprüfungsroutine verfügen, die einmal je Arbeitstag die effektiv eingestellten Sendeleistungen und -richtungen sämtlicher Antennen des betreffenden Netzes mit den bewilligten Wer- ten bzw. Winkelbereichen vergleicht. Festgestellte Überschreitungen eines bewilligten Werts müssen innerhalb von 24 Stunden behoben werden, falls dies durch Fernsteuerung möglich ist, andernfalls inner- halb einer Arbeitswoche. Stellt das QS-System solche Überschreitun- gen fest, wird automatisch ein Fehlerprotokoll erzeugt. Die Fehlerpro- tokolle müssen der Vollzugsbehörde alle zwei Wochen zugestellt und mindestens 12 Monate aufbewahrt werden. Das QS-System muss von einer unabhängigen, externen Prüfstelle periodisch auditiert werden. Die Netzbetreiber gewähren den Vollzugsbehörden uneingeschränkte Akteneinsicht in ihre Datenbanken (Rundschreiben BAFU, Ziff. 3). Sollte eine Netzbetreiberin ihre Verpflichtung zum Aufbau eines QS- System nicht einhalten, würden künftig für die NIS-Beurteilung die ma- ximale installierte Sendeleistung und der maximal durch Fernsteue- rung einstellbare Winkelbereich zugrunde gelegt werden (Rundschrei- ben BAFU, Ziff. 6). Für die Übergangszeit bis zur Inbetriebnahme der Kontrollsysteme sieht das Rundschreiben vor, dass die anlageverant- wortliche Firma im Standortdatenblatt bestätigen müsse, dass die ge- plante Anlage in ihr QS-System eingebunden werde (Rundschreiben BAFU, Ziff. 5).</w:t>
      </w:r>
    </w:p>
    <w:p>
      <w:r>
        <w:t>7.2 Das Bundesgericht hat das QS-System in verschiedenen Ent- scheiden als wirksames und ausreichendes Instrument zur Kontrolle der Emissionsbegrenzungen bezeichnet (vgl. für viele: Urteil des Bun- desgerichtes 1C_340/2013 vom 4. April 2014 Erw. 4 mit Hinweis; be- stätigt in Urteil des Bundesgerichtes 1C_97/2018 vom 3. September 2019 Erw. 8.3). Im Standortdatenblatt bestätigt die Rekursgegnerin, dass die Anlage die Anforderungen an die Qualitätssicherung gemäss dem Rundschreiben des BAFU vom 16. Januar 2006 erfüllt. So verfügt die Rekursgegnerin auch über ein am 15. Dezember 2019 ausgestell- tes Zertifikat für ihr QS-System. Somit erweist sich die Rüge der Re- kurrenten als unbegründet.</w:t>
      </w:r>
    </w:p>
    <w:p>
      <w:r>
        <w:t>8.</w:t>
      </w:r>
    </w:p>
    <w:p>
      <w:r>
        <w:t>Zusammenfassend ergibt sich, dass die Baubewilligung zu Recht er- teilt worden ist. Der Rekurs erweist sich deshalb als unbegründet und ist abzuweisen.</w:t>
      </w:r>
    </w:p>
    <w:p>
      <w:r>
        <w:t>9.</w:t>
      </w:r>
    </w:p>
    <w:p>
      <w:r>
        <w:t>9.1 Nach Art. 95 Abs. 1 VRP hat in Streitigkeiten jener Beteiligte die Kosten zu tragen, dessen Begehren ganz oder teilweise abgewiesen</w:t>
      </w:r>
    </w:p>
    <w:p>
      <w:r>
        <w:t>Entscheid des Baudepartementes SG (Nr. 12/2020), Seite 14/15</w:t>
      </w:r>
    </w:p>
    <w:p>
      <w:r>
        <w:t>werden. Die Entscheidgebühr beträgt Fr. 3'500.– (Nr. 20.13.01 des Gebührentarifs für die Kantons- und Gemeindeverwaltung, sGS 821.5). Dem Ausgang des Verfahrens entsprechend haben die Rekurrenten die amtlichen Kosten unter solidarischer Haftung zu bezahlen (Art. 96bis VRP).</w:t>
      </w:r>
    </w:p>
    <w:p>
      <w:r>
        <w:t>9.2 Der von den Rekurrenten am 10. Januar 2019 geleistete Kos- tenvorschuss von Fr. 1'000.– wird angerechnet.</w:t>
      </w:r>
    </w:p>
    <w:p>
      <w:r>
        <w:t>10.</w:t>
      </w:r>
    </w:p>
    <w:p>
      <w:r>
        <w:t>Die Rekurrenten sowie die Rekursgegnerin stellen ein Begehren um Ersatz der ausseramtlichen Kosten.</w:t>
      </w:r>
    </w:p>
    <w:p>
      <w:r>
        <w:t>10.1 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10.2 Die Rekursgegnerin obsiegt mit ihren Anträgen. Da das Verfah- ren zudem in tatsächlicher und rechtlicher Hinsicht Schwierigkeiten bot, die den Beizug eines Rechtsvertreters rechtfertigen, besteht grundsätzlich Anspruch auf eine ausseramtliche Entschädigung (Art. 98bis VRP). Weil keine Kostennote vorliegt, ist die ausseramtliche Entschädigung in Anwendung von Art. 6 in Verbindung mit Art. 22 der Honorarordnung (sGS 963.75) ermessensweise auf Fr. 3'250.– fest- zulegen; sie ist von den Rekurrenten zu gleichen Teilen zu bezahlen. Weil die zu entschädigende Rekursgegnerin selber mehrwertsteuer- pflichtig ist, kann sie die der Honorarrechnung ihres Anwalts belastete Mehrwertsteuer von ihrer eigenen Steuerschuld abziehen, ohne dass ihr dadurch eine Mehrbelastung entsteht. Daher muss die Mehrwert- steuer bei der Bemessung der ausseramtlichen Entschädigung nicht zusätzlich berücksichtigt werden (R. HIRT, Die Regelung der Kosten nach st.gallischem Verwaltungsrechtspflegegesetz, Lachen/St.Gallen 2004, S. 194).</w:t>
      </w:r>
    </w:p>
    <w:p>
      <w:r>
        <w:t>10.3 Da die Rekurrenten mit ihren Anträgen unterliegen, haben sie von vornherein keinen Anspruch auf eine ausseramtliche Entschädi- gung. Ihr Begehren ist deshalb abzuweisen.</w:t>
      </w:r>
    </w:p>
    <w:p>
      <w:r>
        <w:t>Entscheid des Baudepartementes SG (Nr. 12/2020), Seite 15/15</w:t>
      </w:r>
    </w:p>
    <w:p>
      <w:r>
        <w:t>Entscheid 1.</w:t>
      </w:r>
    </w:p>
    <w:p>
      <w:r>
        <w:t>a) Der Rekurs von A.___, B.___, C.___, D.___, E.___ und F.___ wird abgewiesen.</w:t>
      </w:r>
    </w:p>
    <w:p>
      <w:r>
        <w:t>2.</w:t>
      </w:r>
    </w:p>
    <w:p>
      <w:r>
        <w:t>a) A.___, B.___, C.___, D.___, E.___ und F.___ bezahlen unter solidarischer Haftung eine Entscheidgebühr von Fr. 3'500.–.</w:t>
      </w:r>
    </w:p>
    <w:p>
      <w:r>
        <w:t>b) Der am 10. Januar 2019 geleistete Kostenvorschuss von Fr. 1'000.– wird angerechnet.</w:t>
      </w:r>
    </w:p>
    <w:p>
      <w:r>
        <w:t>3.</w:t>
      </w:r>
    </w:p>
    <w:p>
      <w:r>
        <w:t>a) Das Begehren der G.___ AG um Ersatz der ausseramtlichen Kosten wird gutgeheissen. A.___, B.___, C.___, D.___, E.___ und F.___ entschädigen die G.___ AG zu gleichen Teilen ausseramtlich mit Fr. 3'250.–.</w:t>
      </w:r>
    </w:p>
    <w:p>
      <w:r>
        <w:t>b) Das Begehren von A.___, B.___, C.___, D.___, E.___ und F.___ um Ersatz der ausseramtlichen Kosten wird abgewiesen.</w:t>
      </w:r>
    </w:p>
    <w:p>
      <w:r>
        <w:t>Der Vorsteher</w:t>
      </w:r>
    </w:p>
    <w:p>
      <w:r>
        <w:t>Marc Mächler Regierungsrat</w:t>
      </w:r>
    </w:p>
    <w:p>
      <w:r>
        <w:rPr>
          <w:b/>
        </w:rPr>
        <w:t>E. 11</w:t>
      </w:r>
    </w:p>
    <w:p>
      <w:r>
        <w:t>Grundstücke umfasst. Die Kernzone wird durch die mit Strassenla- ternen bestückte Hauptstrasse in Nord-Süd-Richtung durchschnitten. Das Baugrundstück Nr. 001 befindet sich im Zentrum der kleinen Kernzone und ist derzeit mit einem kleineren eingeschossigen Tech- nikgebäude und einer 19,6 m hohen Antenne überbaut. Das nördlich angrenzende Grundstück Nr. 003 ist unüberbaut. Die angrenzenden Grundstücke Nrn. 004 und 002 sind mit Wohnhäusern überbaut. Ge- genüber dem Baugrundstück auf der anderen Strassenseite steht ein grosser Wohn- und Gewerbekomplex (GS-Nr. 006). In etwas weiterer Umgebung befinden sich Freiflächen, Wohngebäude, öffentliche Ge- bäude und gewerbliche Gebäude. Etwa 50 m nördlich des Baugrund- stücks befinden sich insgesamt fünf Wohnhäuser. Nordwestlich des Baugrundstücks – auf der anderen Strassenseite – befindet sich eine grössere Freifläche (Grundstück Nr. 007) sowie ein Wohnhaus. Nord- östlich des Baugrundstücks befindet sich ein Schulhaus. Östlich bzw. südöstlich befinden sich zahlreiche "Mobilhome Chalets" und ein Fit- nesscenter mit Pool. Dabei kommt jedoch lediglich die Vorfahrt zu den "Mobilhome Chalets" sowie das Fitnesscenter (nicht aber der Pool) in der K3 zu liegen. Der Rest befindet sich in der Intensiverholungszone. Sodann befindet sich etwa 85 m südöstlich vom Baugrundstück ent- fernt ein dreigeschossiges Wohnhaus.</w:t>
      </w:r>
    </w:p>
    <w:p>
      <w:r>
        <w:t>5.5 Am Augenschein hat sich gezeigt, dass in der zu beurteilenden Kernzone keine charakteristischen Gestaltungselemente wie Materia- lien und Farben oder Formgebung und Proportionen auszumachen sind. Vielmehr zeigt sich, dass die Umgebung sehr heterogen bebaut ist. So bestehen Wohnhäuser neben Mobilhomes, Technikgebäude mit Antennenmast, Fitnesscenter und Wohn-/Gewerbegebäuden. Die genannten Gebäude unterscheiden sich auch massgeblich hinsichtlich ihrer Setzung und Gestaltung. Sodann ist die Kernzone durch zwei grössere Freiflächen geprägt. Die Umgebung der geplanten Mobil- funkanlage kann hinsichtlich des Ortsbilds nicht als einheitlich be- zeichnet werden. Insgesamt ist weder das Ortsbild noch das Land- schaftsbild von besonderer Qualität.</w:t>
      </w:r>
    </w:p>
    <w:p>
      <w:r>
        <w:t>5.6 Die geplante Mobilfunkanlage war zum Zeitpunkt des Augen- scheins visiert. Es zeigte sich, dass die geplante Antenne mit fast 25 m Höhe die umliegende Dachlandschaft überragt und isoliert betrachtet als störend in Erscheinung treten kann. Die Form von Mobilfunkanten- nen ist jedoch mehr oder weniger vorgegeben; diesbezüglich besteht kaum ein Gestaltungsspielraum. Überdies müssen Antennen, auf- grund ihrer Funktion, die Dächer überragen und treten deshalb sicht- bar in Erscheinung. Aufgrund der beschränkten gestalterischen Mög- lichkeit sowie aufgrund der heterogenen Bebauung der Kernzone dür- fen die Anforderungen für die Einordnung im vorliegenden Fall nicht allzu hoch angesetzt werden. Hinzukommt, dass auf dem Baugrund- stück bereits ein Antennenmast steht, welcher das Landschafts- und</w:t>
      </w:r>
    </w:p>
    <w:p>
      <w:r>
        <w:t>Entscheid des Baudepartementes SG (Nr. 12/2020), Seite 11/15</w:t>
      </w:r>
    </w:p>
    <w:p>
      <w:r>
        <w:t>Ortsbild prägt. In dem der bestehende Antennenmast abgebrochen und durch eine etwas höhere Mobilfunkantenne ersetzt wird, ist die Stärke des Gegensatzes zwischen dem zu beurteilenden Objekt und der bestehenden Umgebung klein. Der Einwand der Rekurrenten, wo- nach die geplante Mobilfunkanlage das Ortsbild erheblich beeinträch- tige, ist somit unbegründet.</w:t>
      </w:r>
    </w:p>
    <w:p>
      <w:r>
        <w:t>6.</w:t>
      </w:r>
    </w:p>
    <w:p>
      <w:r>
        <w:t>Weiter wird vorgebracht, dass die Rekurrenten A.___, B___ und C.___ das Wohnhaus bewohnen würden, in welchem der OMEN Nr. 4 aus- gewiesen sei. Gemäss dem Standortdatenblatt befinde sich der OMEN Nr. 4 im 1. OG. Die Rekurrenten rügen, dass sich die Schlaf- räume – und damit der massgebende OMEN – tatsächlich im 2. OG befänden, also näher an der geplanten Antenne, als im Datenblatt aus- gewiesen. In dieser Höhe bzw. Nähe zur Antenne müsse notgedrun- gen mit markant höheren Strahlungswerten gerechnet werden.</w:t>
      </w:r>
    </w:p>
    <w:p>
      <w:r>
        <w:t>Die Rekursgegnerin bringt vor, dass sich der OMEN Nr. 4 im obersten Geschoss des Wohnhauses befinde. Dies gehe aus den Höhenanga- ben des Zusatzblatts 4a des Standortdatenblatts hervor. Das Standort- datenblatt sei sodann vom AFU geprüft und bestätigt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