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16-5641 / 16-5642 / 16-5643 / 16-5673 vom 4. November 2020</w:t>
      </w:r>
    </w:p>
    <w:p>
      <w:r>
        <w:t>SG Gerichte, 2020-11-04, DE</w:t>
      </w:r>
    </w:p>
    <w:p>
      <w:r>
        <w:rPr>
          <w:b/>
        </w:rPr>
        <w:t xml:space="preserve">Quelle: </w:t>
      </w:r>
      <w:r>
        <w:t>https://mcp.opencaselaw.ch/entscheid/sg_publikationen_16-5641___16-5642___16-5643___16-5673</w:t>
      </w:r>
    </w:p>
    <w:p>
      <w:r>
        <w:t>FR: SG_PUBLIKATIONEN 16-5641 / 16-5642 / 16-5643 / 16-5673 du 4 novembre 2020</w:t>
      </w:r>
    </w:p>
    <w:p>
      <w:r>
        <w:t>IT: SG_PUBLIKATIONEN 16-5641 / 16-5642 / 16-5643 / 16-5673 del 4 novembre 2020</w:t>
      </w:r>
    </w:p>
    <w:p>
      <w:pPr>
        <w:pStyle w:val="Heading2"/>
      </w:pPr>
      <w:r>
        <w:t>Erwägungen</w:t>
      </w:r>
    </w:p>
    <w:p>
      <w:r>
        <w:rPr>
          <w:b/>
        </w:rPr>
        <w:t>E. 1.1</w:t>
      </w:r>
    </w:p>
    <w:p>
      <w:r>
        <w:t>Die vier Rekursverfahren stehen im gleichen sachlichen Zusam- menhang.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Baudepartementes ergibt sich aus Art. 43bis des Gesetzes über die Verwaltungsrechtspflege (sGS 951.1; abgekürzt VRP).</w:t>
      </w:r>
    </w:p>
    <w:p>
      <w:r>
        <w:rPr>
          <w:b/>
        </w:rPr>
        <w:t>E. 1.3</w:t>
      </w:r>
    </w:p>
    <w:p>
      <w:r>
        <w:t>Die Frist- und Formerfordernisse von Art. 47 Abs. 1 und Art. 48 VRP sind erfüllt. Die Rekursberechtigung ist gegeben (Art. 45 VRP). Auf den Rekurs ist einzutreten.</w:t>
      </w:r>
    </w:p>
    <w:p>
      <w:r>
        <w:t>Entscheid des Baudepartementes SG (Nr. 106/2020), Seite 10/20</w:t>
      </w:r>
    </w:p>
    <w:p>
      <w:r>
        <w:rPr>
          <w:b/>
        </w:rPr>
        <w:t>E. 2</w:t>
      </w:r>
    </w:p>
    <w:p>
      <w:r>
        <w:t>Am 1. Oktober 2017 ist das Planungs- und Baugesetz (sGS 731.1; ab- gekürzt PBG) in Kraft getreten und das Baugesetz vom 6. Juni 1972 (nGS 8, 134; abgekürzt BauG) aufgehoben worden (Art. 172 Bst. a PBG). Gestützt auf Art. 173 PBG werden die bei Vollzugsbeginn die- ses Erlasses hängigen Baubewilligungsverfahren grundsätzlich nach jenem Recht beurteilt, das im Zeitpunkt des erstinstanzlichen Ent- scheids der Baubewilligungsbehörde Gültigkeit hatte (Art. 173 Abs. 1 PBG). Vorbehalten bleibt die Anwendung neuen Rechts, soweit es für die Baugesuchsteller günstiger ist (Art. 173 Abs. 2 PBG). Der erstin- stanzliche Einsprache- und Baubewilligungsentscheid erging am</w:t>
      </w:r>
    </w:p>
    <w:p>
      <w:r>
        <w:rPr>
          <w:b/>
        </w:rPr>
        <w:t>E. 5</w:t>
      </w:r>
    </w:p>
    <w:p>
      <w:r>
        <w:t>Die Rekurrentin macht eine Überschreitung der zulässigen Ausnüt- zungsziffer geltend.</w:t>
      </w:r>
    </w:p>
    <w:p>
      <w:r>
        <w:rPr>
          <w:b/>
        </w:rPr>
        <w:t>E. 5.1</w:t>
      </w:r>
    </w:p>
    <w:p>
      <w:r>
        <w:t>Das Baugrundstück liegt nach dem geltenden Zonenplan in der Kernzone K5a und im Plangebiet des Überbauungsplans D.___ mit besonderen Vorschriften (besV). Gemäss diesem Plan ist das Bau- grundstück dem Baugebiet B4 zugordnet. Demnach ist die maximale Geschosszahl wie folgt beschränkt: zwei Untergeschosse, vier Vollge- schosse, kein Dachgeschoss. Die maximale Gebäude- und Firsthöhe ist auf 466,00 m ü. M. festgelegt (Art. 3 besV). In Art. 4 besV wird die konkrete Nutzung der verschiedenen Geschosse bestimmt. Für das Baugebiet B4 ist die Nutzung der Untergeschosse offen, im Erd- und ersten Obergeschoss ist eine gewerbliche Nutzung vorgeschrieben. Im zweiten und dritten Obergeschoss ist sowohl eine gewerbliche wie auch eine Wohnnutzung möglich. Die Ausnützung für den Baubereich B4 beträgt 695 m2, wobei zusätzliche 175 m2 nur zu Wohnzwecken genutzt werden dürfen.</w:t>
      </w:r>
    </w:p>
    <w:p>
      <w:r>
        <w:rPr>
          <w:b/>
        </w:rPr>
        <w:t>E. 5.2</w:t>
      </w:r>
    </w:p>
    <w:p>
      <w:r>
        <w:t>Das Baugesuch weisst eine anrechenbare Fläche von insge- samt 722,08 m2 aus (Gewerbe: 690,21 m2 und Wohnen: 31,87 m2).</w:t>
      </w:r>
    </w:p>
    <w:p>
      <w:r>
        <w:t>Entscheid des Baudepartementes SG (Nr. 106/2020), Seite 13/20</w:t>
      </w:r>
    </w:p>
    <w:p>
      <w:r>
        <w:t>Die Rekurrentin stört sich nun daran, dass die Gesuchsunterlagen ver- schiedene Flächenmasse ausweisen würden, woraus ein Unterschied von 4 m2 resultiere. Weiter werde der Aufgang zur Dachterrasse nicht angerechnet, obwohl sich dort ein anrechenbarer Vorraum mit einer anrechenbaren Fläche befinde. Damit werde die insgesamt zulässige Fläche überschritten.</w:t>
      </w:r>
    </w:p>
    <w:p>
      <w:r>
        <w:rPr>
          <w:b/>
        </w:rPr>
        <w:t>E. 5.3</w:t>
      </w:r>
    </w:p>
    <w:p>
      <w:r>
        <w:t>Rügen sind substantiiert vorzubringen bzw. haben eine Begrün- dung zu enthalten (Art. 48 Abs. 1 VRP). Eine Begründung ist ausrei- chend, wenn in der Begründung selbst Argumente vorgebracht wer- den, nach denen der angefochtene Entscheid auf einer fehlerhaften Sachverhaltsfeststellung oder Rechtsanwendung beruht. Darüber hin- aus gilt das Rügeprinzip. Rekurrenten haben demnach im Rekurs selbst konkret darzutun, in welchen Punkten die Baubewilligung un- haltbar sein soll. An der Rekursinstanz ist es lediglich zu prüfen, ob die geltend gemachten Einwände stimmen, nicht aber, selber nach (Be- rechnungs-)Fehlern zu suchen, die nicht offensichtlich sind.</w:t>
      </w:r>
    </w:p>
    <w:p>
      <w:r>
        <w:rPr>
          <w:b/>
        </w:rPr>
        <w:t>E. 5.4</w:t>
      </w:r>
    </w:p>
    <w:p>
      <w:r>
        <w:t>Die Rekurrentin vergleicht die Berechnung nach Art. 61 BauG gemäss "bgf nach sia 416" vom 10. August 2016 mit den Flächenan- gaben gemäss Plan "grundriss+schnitt 1:100" vom 14. März 2016. Nach diesem Plan weise das Erdgeschoss eine Fläche von 152,96 m2 statt 148,89 m2 gemäss Bruttogeschossflächenberechnung aus. Da- bei übersieht die Rekurrentin aber, dass der Grundriss- und Schnitt- plan nicht die für die Ausnützungsziffer relevanten Flächen, sondern die gesamte Grundrissfläche ausweist, weshalb sich ein Vergleich zwi- schen den beiden Plänen von vornherein nicht anbietet. Dazu kommt, dass sie im Grundriss- und Schnittplan lediglich die Flächen "ge- werbe", "aufenth./gard.", "wc iv" und "vorraum" zusammengezählt hat, die "treppe" und den dazugehörenden "vorraum" aber unberücksich- tigt lässt, obwohl dieser, wie es im Baugesuch gemäss "bgf nach sia 416" richtig erfolgt ist, nach Art. 61 Abs. 2 BauG ebenfalls für die Aus- nützungszifferberechnung zu berücksichtigen ist. Mithin ist die von der Rekurrentin selbst errechnete Fläche von 152,96 m2 von vornherein nicht relevant. Auf dem Dachgeschoss befinden sich entgegen der Be- hauptung der Rekurrentin keine anrechenbaren Flächen, zumal es sich beim "verasonn dachausstieg" gemäss Grundriss- und Schnitt- plan 1:100 lediglich um einen Deckel über dem Treppenaufgang han- delt, der bei Benützung der Dachterrasse geöffnet werden muss. Der "vorraum" vor dem Lift ist nicht umschlossen und somit für die Ausnüt- zungsberechnung unbeachtlich. Dementsprechend ist auch die Treppe zum Dachgeschoss nicht anzurechnen. Ohne weitere spezifi- sche Rügen oder konkrete Indizien die Ausnützungszifferberechnung betreffend ist somit davon auszugehen, dass die Angaben gemäss Be- rechnung der Gesuchstellerin stimmen, weshalb das Bauvorhaben die Ausnützungsziffer gemäss Art. 6 besV einhält. Jedenfalls bieten die geltend gemachten "unterschiedlichen" Flächenangaben keinen An- lass, dass die Vorinstanz die ausgewiesenen Flächenmasse im Detail hätte vertieft überprüfen müssen, wie die Rekurrentin der Baubehörde vorwirft.</w:t>
      </w:r>
    </w:p>
    <w:p>
      <w:r>
        <w:t>Entscheid des Baudepartementes SG (Nr. 106/2020), Seite 14/20</w:t>
      </w:r>
    </w:p>
    <w:p>
      <w:r>
        <w:rPr>
          <w:b/>
        </w:rPr>
        <w:t>E. 6</w:t>
      </w:r>
    </w:p>
    <w:p>
      <w:r>
        <w:t>Die Rekurrentin rügt die Ausnahmebewilligung des Strasseninspekto- rats für die Unterschreitung des Strassenabstands. Weiter macht sie geltend, dass der Werbepylon auch den Sondernutzungsplan D.___ verletze.</w:t>
      </w:r>
    </w:p>
    <w:p>
      <w:r>
        <w:rPr>
          <w:b/>
        </w:rPr>
        <w:t>E. 6.1</w:t>
      </w:r>
    </w:p>
    <w:p>
      <w:r>
        <w:t>Sondernutzungspläne haben den Zweck, die im Rahmennut- zungsplan enthaltene planungs- und baurechtliche Grundordnung in bestimmen Teilräumen zu ergänzen, weiter zu verfeinern oder – im zulässigen Rahmen – abzuändern (B. DEILLON, in Bereuter/Frei/Ritter [Hrsg.], Kommentar zum Planungs- und Baugesetz des Kantons St.Gallen, a.a.O., Art. 23 N 1). Der Sondernutzungsplan D.___ legt mit Markierungslinien gemäss Art. 24bis BauG Baubereiche fest, in wel- chen die Lage und die höchstzulässige horizontale Ausdehnung von Bauten und Anlagen festgelegt werden. Sie gehen unter Vorbehalt ei- ner anderen Regelung im Überbauungsplan allen anderen Abstands- vorschriften vor (Art. 24bis Abs. 2 BauG). Dies bedeutet, dass vorbe- hältlich einer anderen Regelung im Überbauungsplan bis an die Mar- kierungslinien gebaut werden darf, nicht aber gebaut werden muss (HEER, a.a.O., N 151).</w:t>
      </w:r>
    </w:p>
    <w:p>
      <w:r>
        <w:rPr>
          <w:b/>
        </w:rPr>
        <w:t>E. 6.2</w:t>
      </w:r>
    </w:p>
    <w:p>
      <w:r>
        <w:t>Der Sondernutzungsplan D.___ sieht auf dem Baugrundstück den Baubereich B4 vor. Zu den Baulinien (richtig: Markierungslinien) führt Art. 7 besV aus, dass ausserhalb der Erdgeschossbaulinie Ab- stützungen zulässig sind. Im Baubereich B4 legt der Plan zudem ge- genüber der Kantonsstrasse für das Erdgeschoss und für die Ober- und Untergeschosse separate Markierungslinien fest, was zur Folge hat, dass das Erdgeschoss zu Gunsten eines Fussgängerbereichs zu- rückspringen muss. Der vorgelagerte Bereich bis zur Kantonsstrasse ist als Verkehrsfläche und Fussgängerbereich ausgeschieden. Die Fussgängerbereiche sind nach Art. 12 Abs. 1 besV von jeglichem Mo- torfahrzeugverkehr freizuhalten. Vorbehalten bleiben die im Plan be- zeichneten gemischten Verkehrs- und Fussgängerbereiche. Die Aus- senraummöblierung und die Beleuchtung haben nach einem einheitli- chen Konzept zu erfolgen (Art. 21 Satz 3 besV).</w:t>
      </w:r>
    </w:p>
    <w:p>
      <w:r>
        <w:rPr>
          <w:b/>
        </w:rPr>
        <w:t>E. 6.3</w:t>
      </w:r>
    </w:p>
    <w:p>
      <w:r>
        <w:t>Kommt der Neubau wie hier gegenüber der Kantonsstrasse in- nerhalb eines mit Markierungslinien ausgeschiedenen Baubereichs zu liegen, ist nach dem Gesagten keine Ausnahmebewilligung des Kan- tons nötig, wenn dadurch der strassenrechtliche Strassenabstand un- terschritten wird; die sondernutzungsrechtlichen Markierungslinien ge- hen in diesem Fall dem Strassenabstand vor. Die für die Abweichung nötige Interessenabwägung hat der Kanton bereits im Rahmen seiner Genehmigungsverfügung zum Überbauungsplan D.___ gemacht. Der geplante Werbepylon soll vorliegend aber nicht bloss im strassen- rechtlichen Strassenabstand, sondern zusätzlich ausserhalb des son- dernutzungsrechtlichen Baubereichs im Verkehrs- und Fussgängerbe- reich zu stehen kommen. Vor einer ausnahmsweisen Bewilligung des Strasseninspektorats wäre somit von der Baubehörde vorab zu prüfen gewesen, ob auch vom Überbauungsplan ausnahmsweise abgewi- chen werden kann. Allerdings müsste für eine solche ausnahmsweise</w:t>
      </w:r>
    </w:p>
    <w:p>
      <w:r>
        <w:t>Entscheid des Baudepartementes SG (Nr. 106/2020), Seite 15/20</w:t>
      </w:r>
    </w:p>
    <w:p>
      <w:r>
        <w:t>Bewilligung eine Ausnahmesituation vorliegen, was vorliegend nicht geltend gemacht wird und auch sonst nicht erkennbar ist. Daran ändert auch nichts, dass der Vorplatz wegen den beibehaltenen Stufen ohne- hin nicht für die Zulieferung benützt werden kann und die Fussgänger auch um den Pylon herumgehen können, wie die Rekursgegnerin vor- bringen lässt. Ebenso wenig zu überzeugen vermag ihr Vorbringen, dass die säulenförmig aufragende Werbeanlage am vorgesehenen Standort allein schon aus Wettbewerbsgründen nötig sei, weil die Re- kurrentin auf dem Nachbargrundstück ebenfalls eine solche habe im Strassenabstand aufstellen dürfen. Aus wirtschaftlichen Gründen liesse sich eine Ausnahmebewilligung höchstens rechtfertigen, wenn ein Unternehmen ohne eine solche Bewilligung in Frage gestellt oder zumindest ernsthaft gefährdet wäre. Rein finanzielle Erwägungen wie hier genügen für die Annahme einer Ausnahmesituation jedoch ge- nauso wenig (HEER, a.a.O., N 736) wie der Umstand, dass der Wer- bepylon der Rekurrentin wohl ebenfalls nicht hätte bewilligt werden dürfen, da der Überbauungsplan D.___ in jenem Bereich ebenfalls kei- nen Baubereich, sondern lediglich Flächen für Fussgänger, Grünflä- chen und hochstämmige Bäume vorsieht.</w:t>
      </w:r>
    </w:p>
    <w:p>
      <w:r>
        <w:rPr>
          <w:b/>
        </w:rPr>
        <w:t>E. 6.4</w:t>
      </w:r>
    </w:p>
    <w:p>
      <w:r>
        <w:t>Soweit die Rekursgegnerin in der Verweigerung des Werbepy- lons eine Ungleichbehandlung sieht, sei auf die bundesgerichtliche Rechtsprechung verwiesen. Demnach geht der Grundsatz der Gesetz- mässigkeit der Verwaltung in der Regel der Rücksicht auf eine gleich- mässige Rechtsanwendung vor. Der Umstand allein, dass das Gesetz in anderen Fällen nicht oder nicht richtig angewendet worden ist, gibt den Bürgern grundsätzlich keinen Anspruch darauf, ebenfalls abwei- chend vom Gesetz behandelt zu werden. So legt die Rekursgegnerin denn auch nicht dar, dass die Baubehörde Werbeanlagen in ihrem Ho- heitsgebiet in ständiger Praxis vom Gesetz abweichend bewillige und zudem zu erkennen gebe, auch inskünftig nicht gesetzeskonform ent- scheiden zu wollen. Sodann könnte bei nur gerade zwei isolierten Fäl- len von Vornherein nicht von einer ständigen Praxis gesprochen wer- den (Urteil des Bundesgerichtes 1C_186/2020 vom 17. August 2020 Erw. 4.2 f.). Und schliesslich würde der Vorinstanz mit diesem Ent- scheid auch klargemacht, dass in einem solchen Fall ihre Praxis falsch und zu ändern wäre.</w:t>
      </w:r>
    </w:p>
    <w:p>
      <w:r>
        <w:rPr>
          <w:b/>
        </w:rPr>
        <w:t>E. 6.5</w:t>
      </w:r>
    </w:p>
    <w:p>
      <w:r>
        <w:t>Nach dem Gesagten ergibt sich somit, dass die Baubewilligung des Werbepylons in der sonderbaurechtlichen Verkehrs- und Fuss- gängerfläche nicht bestätigt werden kann.</w:t>
      </w:r>
    </w:p>
    <w:p>
      <w:r>
        <w:rPr>
          <w:b/>
        </w:rPr>
        <w:t>E. 7</w:t>
      </w:r>
    </w:p>
    <w:p>
      <w:r>
        <w:t>Die Rekurrentin rügt, dass sich die im Bauplan vorgesehenen gedeck- ten Containerplätze ausserhalb des sonderbaurechtlichen Baube- reichs befinden würden. Die Rekursgegnerin wendet dagegen ein, dass darauf nicht eingetreten werden dürfe, da der Einwand weder im Einspracheverfahren noch in der Rekursbegründung vorgebracht wor- den sei.</w:t>
      </w:r>
    </w:p>
    <w:p>
      <w:r>
        <w:t>Entscheid des Baudepartementes SG (Nr. 106/2020), Seite 16/20</w:t>
      </w:r>
    </w:p>
    <w:p>
      <w:r>
        <w:rPr>
          <w:b/>
        </w:rPr>
        <w:t>E. 7.1</w:t>
      </w:r>
    </w:p>
    <w:p>
      <w:r>
        <w:t>Die Sachverhaltsdarstellung hat im Rekursverfahren grundsätz- lich im Rahmen der Rekurseingabe zu erfolgen. Einwände sind jedoch spätestens anlässlich des die Sachverhaltsermittlung grundsätzlich abschliessenden Rekursaugenscheins vorzubringen (VerwGE B 2018/52 vom 27. Februar 2019 Erw. 2.2.1 mit Verweis auf das Urteil des Bundesgerichtes 1C_643/2015 vom 3. August 2016 Erw. 2.2.3 f.). Insofern ist der von der Rekursgegnerin zitierte Entscheid des Baude- partementes überholt, wonach neue Bauhinderungsgründe nach Ab- lauf der Rechtsmittelfrist oder einer allfälligen Frist zur Rekursergän- zung nur noch geltend gemacht werden können, wenn bereits erheb- liche Abklärungen getroffen worden sind und die bisherige Arbeit für die Beurteilung des geänderten Klagegrunds verwendbar ist, nicht aber, wenn die Beurteilung des neuen Bauhinderungsgrunds zu einer erheblichen Erschwerung oder Verzögerung des Rekursverfahrens führt (BDE 41/2017 vom 24. November 2017 Erw. 2.2). Dazu kommt, dass Art. 61 Abs. 3 VRP nicht zum Tragen kommt und die bereits im Beschwerdeverfahren gestellten Rechtsbegehren noch mit einer ge- genüber dem vorinstanzlichen Verfahren geänderten rechtlichen Be- gründung versehen werden können, wenn die Vorinstanz wie das Bau- departement keine richterliche Behörde ist (M. LOOSER/M. LOOSER- HERZOG in: Rizvi/Schindler/Cavelti [Hrsg.], Praxiskommentar zum Ge- setz über die Verwaltungsrechtspflege (VRP), Zürich/St.Gallen 2020, Art. 61 N 22; VerwGE B 2019/140 vom 22. April 2020 Erw. 3.2). Dem- zufolge ist denkbar, dass neue Vorbringen selbst nach dem Rekursau- genschein bzw. nach der Stellungnahme zum Augenscheinprotokoll noch vorgebracht werden können. Der erstmals am Rekursaugen- schein gerügte Standort des Containerunterstands ist somit ohne Wei- teres zu überprüfen.</w:t>
      </w:r>
    </w:p>
    <w:p>
      <w:r>
        <w:rPr>
          <w:b/>
        </w:rPr>
        <w:t>E. 7.2</w:t>
      </w:r>
    </w:p>
    <w:p>
      <w:r>
        <w:t>Der eingewandete Bereich für die Abfallcontainer befindet sich ausserhalb des sonderbaurechtlichen Baubereichs im Fussgänger- und Verkehrsbereichs. Der Fussgängerbereich ist nach Art. 12 besV von jeglichem Motorfahrzeugverkehr freizuhalten. Diese Beschrän- kung bedeutet nun aber nicht, dass dieser Bereich bloss nicht befah- ren, jedoch überbaut werden dürfte, wie die Rekursgegnerin geltend macht. Bauliche Massnahmen sind hier nur möglich, soweit sie den Fussgängern dienen. Im Verkehrsbereich gilt das Gleiche zu Gunsten des Verkehrs. Was sich ausserhalb der Markierungslinie befindet, darf sonst für keine andere Nutzung überbaut oder belegt werden. Davon abgesehen, dass die Vorinstanz für den Containerunterstand keine Ausnahmebewilligung geprüft und erteilt hat, wäre beim vorliegenden Neubau auch nicht einsichtig, warum für die Container nicht innerhalb der Markierungslinien Platz geschaffen werden könnte.</w:t>
      </w:r>
    </w:p>
    <w:p>
      <w:r>
        <w:rPr>
          <w:b/>
        </w:rPr>
        <w:t>E. 7.3</w:t>
      </w:r>
    </w:p>
    <w:p>
      <w:r>
        <w:t>Die Rekursgegnerin verlangt, dass der Unterstand, falls dessen Bewilligung nicht bestätigt werden könne, mit einer Auflage weggebo- ten werde.</w:t>
      </w:r>
    </w:p>
    <w:p>
      <w:r>
        <w:rPr>
          <w:b/>
        </w:rPr>
        <w:t>E. 7.3.1</w:t>
      </w:r>
    </w:p>
    <w:p>
      <w:r>
        <w:t>Die Baubewilligung kann nach Art. 87 Abs. 2 BauG mit ein- schränkenden Bedingungen und Auflagen verbunden werden. Mit ei-</w:t>
      </w:r>
    </w:p>
    <w:p>
      <w:r>
        <w:t>Entscheid des Baudepartementes SG (Nr. 106/2020), Seite 17/20</w:t>
      </w:r>
    </w:p>
    <w:p>
      <w:r>
        <w:t>ner Auflage zur Baubewilligung können Hindernisse von untergeord- neter Bedeutung beseitigt werden. Die Einhaltung grundlegender Bau- rechtsnormen dagegen ist in einem einzigen und einheitlichen Baube- willigungsverfahren zu prüfen. Nur die Regelung von Nebenpunkten, die für die Bewilligungsfähigkeit eines Bauvorhabens nicht von aus- schlaggebender Bedeutung sind, können in ein späteres Verfahren verwiesen werden (HEER, a.a.O, N 869; VerwGE B 2013/28 vom</w:t>
      </w:r>
    </w:p>
    <w:p>
      <w:r>
        <w:rPr>
          <w:b/>
        </w:rPr>
        <w:t>E. 7.3.2</w:t>
      </w:r>
    </w:p>
    <w:p>
      <w:r>
        <w:t>Vorliegend verlangt Art. 8 Abs. 4 des Baureglements der Politi- schen Gemeinde Z.___ vom 6. Juli 2009, dass bei gewerblichen Bau- ten und Mehrfamilienhäusern Abstellflächen für die Abfallentsorgung mit Anstoss an eine öffentliche Strasse erstellt werden. Mithin kann der Containerunterstand nicht einfach mit einer Auflage weggeboten werden. Es ist vielmehr nötig, dass dieser innerhalb des sonderbau- rechtlichen Baubereichs errichtet wird. Da dieses aber praktisch voll- ständig überbaut werden soll und es an der Bauherrin ist, ihr Bauvor- haben entsprechend anzupassen, wäre das Bauprojekt wenigstens mit einem Korrekturgesuch anzupassen, wozu der Rekursgegnerin im Rekursverfahren Gelegenheit gegeben wurde, was diese aber aus- drücklich abgelehnt hat. Folglich muss der ausserhalb des Baube- reichs geplante Containerunterstand dazu führen, dass die Baubewil- ligung insgesamt aufgehoben werden muss.</w:t>
      </w:r>
    </w:p>
    <w:p>
      <w:r>
        <w:t>8.</w:t>
      </w:r>
    </w:p>
    <w:p>
      <w:r>
        <w:t>Die Rekurrentin rügt schliesslich das fehlende Werbekonzept.</w:t>
      </w:r>
    </w:p>
    <w:p>
      <w:r>
        <w:t>8.1 Art. 10 Abs. 3 besV verlangt insbesondere für den Baubereich B4, dass Aussenreklamen nach einem einheitlichen Konzept ange- bracht werden. Die Rekursgegnerin bringt vor, die beiden konkreten Werbungen an der östlichen Hauswand mit der Aufschrift "C.___" bzw. der Werbepylon mit der Aufschrift "F.___" und "C.___" seien selbst das Werbekonzept für das entsprechende Gebiet. Wenn eine Werbung ge- ändert werden müsse, werde ein neues Reklamegesuch eingereicht, worauf der Stadtrat zu prüfen habe, ob dieses einem einheitlichen Konzept entspreche.</w:t>
      </w:r>
    </w:p>
    <w:p>
      <w:r>
        <w:t>8.2 Da der Werbepylon am vorgesehenen Standort aus den vorge- nannten Gründen nicht bewilligungsfähig ist, verbleibt für das vorlie- gende Gesuch bloss noch die Werbefläche an der östlichen Haus- wand, weshalb beim vorliegenden Gesuch von vornherein von keinem Konzept für den gesamten Baubereich B4 gesprochen werden kann. Dazu kommt, dass ein Werbekonzept per Definition nicht einfach den Stand der aktuell vorhandenen oder unmittelbar nachgesuchten Wer- bemassnahmen an einer Liegenschaft wiedergibt, sondern zusätzlich zur aktuell vorgesehenen Reklamemassnahme auch ein Gesamtkon- zept für die gesamte Liegenschaft bzw. vorliegend für den ganzen Baubereich B4 festlegt, das auch für künftige Werbungen im Baube- reich den Rahmen festlegt. Konkret heisst das, dass mit einem Wer- bekonzept aufgezeigt werden muss, wie und wo jetzt und künftig al-</w:t>
      </w:r>
    </w:p>
    <w:p>
      <w:r>
        <w:t>Entscheid des Baudepartementes SG (Nr. 106/2020), Seite 18/20</w:t>
      </w:r>
    </w:p>
    <w:p>
      <w:r>
        <w:t>lenfalls auch weitere Unternehmen und Geschäfte im geplanten Neu- bau beworben werden können. Dies gilt insbesondere auch für den vorliegend ebenfalls geplanten Gastronomiebetrieb, der bis jetzt bloss am freistehenden Pylon beworben werden sollte.</w:t>
      </w:r>
    </w:p>
    <w:p>
      <w:r>
        <w:t>8.3 Nach dem Gesagten fehlt für das Gebiet B4 das nach Art. 10 Abs. 3 besV notwendige Reklamekonzept, weshalb die Bewilligung für die Reklamen des Geschäfts "C.___" und des Restaurationsbetriebs "F.___" aufzuheben ist.</w:t>
      </w:r>
    </w:p>
    <w:p>
      <w:r>
        <w:t>9.</w:t>
      </w:r>
    </w:p>
    <w:p>
      <w:r>
        <w:t>Zusammenfassend ergibt sich, dass die Abbruch- und Baubewilligung sowie der Einspracheentscheid aufzuheben sind, weil die Gesuche nicht mit der nötigen Bewilligung für den gesteigerten Gemeinge- brauch koordiniert worden sind und das Baugesuch Bestimmungen des geltenden Überbauungsplans D.___ verletzt. Die kantonale Aus- nahmebewilligung des Tiefbauamtes für die Unterschreitung des Strassenabstands wird mit der Aufhebung der Baubewilligung hinfällig, weshalb der entsprechende Rekurs gegenstandslos wird. Somit erwei- sen sich die Rekurse hinsichtlich der Abbruch- und Baubewilligung, des Einspracheentscheids und der Ausnahmebewilligung als begrün- det, weshalb sie gutzuheissen sind, soweit sie durch die Gutheissung der Rekurse nicht gegenstandslos geworden sind.</w:t>
      </w:r>
    </w:p>
    <w:p>
      <w:r>
        <w:t>10.</w:t>
      </w:r>
    </w:p>
    <w:p>
      <w:r>
        <w:t>10.1 Nach Art. 95 Abs. 1 VRP hat in Streitigkeiten jener Beteiligte die Kosten zu tragen, dessen Begehren ganz oder teilweise abgewiesen werden. Die Entscheidgebühr für die vier Rekursverfahren beträgt Fr. 4'000.– (Nr. 20.13.01 des Gebührentarifs für die Kantons- und Ge- meindeverwaltung, sGS 821.5). Dem Ausgang des Verfahrens entsprechend hat die Rekursgegnerin die amtlichen Kosten zu bezahlen (Art. 96bis VRP).</w:t>
      </w:r>
    </w:p>
    <w:p>
      <w:r>
        <w:t>10.2 Die von der Rekurrentin am 18. Oktober 2016 geleisteten Kos- tenvorschüsse von insgesamt Fr. 2'500.– sind zurückzuerstatten.</w:t>
      </w:r>
    </w:p>
    <w:p>
      <w:r>
        <w:t>11.</w:t>
      </w:r>
    </w:p>
    <w:p>
      <w:r>
        <w:t>Die Rekurrentin und die Rekursgegnerin stellen je ein Begehren um Ersatz der ausseramtlichen Kosten.</w:t>
      </w:r>
    </w:p>
    <w:p>
      <w:r>
        <w:t>11.1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11.2 Die Rekurrentin obsiegt mit ihren Anträgen. Da das Verfahren zudem in tatsächlicher und rechtlicher Hinsicht Schwierigkeiten bot,</w:t>
      </w:r>
    </w:p>
    <w:p>
      <w:r>
        <w:t>Entscheid des Baudepartementes SG (Nr. 106/2020), Seite 19/20</w:t>
      </w:r>
    </w:p>
    <w:p>
      <w:r>
        <w:t>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ermessensweise auf Fr. 3'250.– festzule- gen; sie ist von der Rekursgegnerin zu bezahlen. Weil die zu entschä- digende Rekurrentin selber mehrwertsteuerpflichtig ist, kann sie die der Honorarrechnung ihres Anwalts belastete Mehrwertsteuer von ihrer eigenen Steuerschuld abziehen, ohne dass ihr dadurch eine Mehrbelastung entsteht. Daher muss die Mehrwertsteuer bei der Be- messung der ausseramtlichen Entschädigung nicht zusätzlich berück- sichtigt werden (R. HIRT, Die Regelung der Kosten nach st.gallischem Verwaltungsrechtspflegegesetz, Lachen/St.Gallen 2004, S. 194).</w:t>
      </w:r>
    </w:p>
    <w:p>
      <w:r>
        <w:t>11.3 Da die Rekursgegnerin mit ihren Anträgen unterliegen, hat sie von vornherein keinen Anspruch auf eine ausseramtliche Entschädi- gung. Ihr Begehren ist deshalb abzuweisen. Entscheid 1.</w:t>
      </w:r>
    </w:p>
    <w:p>
      <w:r>
        <w:t>a) Die Rekurse (Verfahren Nrn. 16-5641, 16-5642, 16-5643, 16- 5673) der A.___ werden gutgeheissen, soweit sie nicht gegenstandslos geworden sind.</w:t>
      </w:r>
    </w:p>
    <w:p>
      <w:r>
        <w:t>b) Die Abbruchbewilligung (2016/136), die Baubewilligung (2016/137) und der Einsprachebeschluss (2016/135), alle vom 5. Sep- tember 2016, werden aufgehoben.</w:t>
      </w:r>
    </w:p>
    <w:p>
      <w:r>
        <w:t>2.</w:t>
      </w:r>
    </w:p>
    <w:p>
      <w:r>
        <w:t>a) Die B.___ bezahlt eine Entscheidgebühr von insgesamt Fr. 4'000.–.</w:t>
      </w:r>
    </w:p>
    <w:p>
      <w:r>
        <w:t>b) Die von der A.___ am 18. Oktober 2016 geleisteten Kostenvor- schüsse von Fr. 1'000.– (16-5641), Fr. 500.– (16-5642), Fr. 500.– (16- 5643) und Fr. 500.– (16-5673) werden zurückerstattet.</w:t>
      </w:r>
    </w:p>
    <w:p>
      <w:r>
        <w:t>3.</w:t>
      </w:r>
    </w:p>
    <w:p>
      <w:r>
        <w:t>a) Das Begehren der A.___ um Ersatz der ausseramtlichen Kosten wird gutgeheissen. Die B.___ entschädigt sie mit Fr. 3'250.–.</w:t>
      </w:r>
    </w:p>
    <w:p>
      <w:r>
        <w:t>b) Das Begehren der B.___ um Ersatz der ausseramtlichen Kosten wird abgewiesen.</w:t>
      </w:r>
    </w:p>
    <w:p>
      <w:r>
        <w:t>Entscheid des Baudepartementes SG (Nr. 106/2020), Seite 20/20</w:t>
      </w:r>
    </w:p>
    <w:p>
      <w:r>
        <w:t>Die Vorsteherin</w:t>
      </w:r>
    </w:p>
    <w:p>
      <w:r>
        <w:t>Susanne Hartmann Regierungsrätin</w:t>
      </w:r>
    </w:p>
    <w:p>
      <w:r>
        <w:rPr>
          <w:b/>
        </w:rPr>
        <w:t>E. 12</w:t>
      </w:r>
    </w:p>
    <w:p>
      <w:r>
        <w:t>Februar 2014 Erw.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