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VZ.2010.35 vom 16. November 2010</w:t>
      </w:r>
    </w:p>
    <w:p>
      <w:r>
        <w:t>SG Gerichte, 2010-11-16, DE</w:t>
      </w:r>
    </w:p>
    <w:p>
      <w:r>
        <w:rPr>
          <w:b/>
        </w:rPr>
        <w:t xml:space="preserve">Quelle: </w:t>
      </w:r>
      <w:r>
        <w:t>https://mcp.opencaselaw.ch/entscheid/sg_gerichte_VZ.2010.35</w:t>
      </w:r>
    </w:p>
    <w:p>
      <w:r>
        <w:t>FR: SG_GERICHTE VZ.2010.35 du 16 novembre 2010</w:t>
      </w:r>
    </w:p>
    <w:p>
      <w:r>
        <w:t>IT: SG_GERICHTE VZ.2010.35 del 16 novembre 2010</w:t>
      </w:r>
    </w:p>
    <w:p>
      <w:pPr>
        <w:pStyle w:val="Heading2"/>
      </w:pPr>
      <w:r>
        <w:t>Regeste</w:t>
      </w:r>
    </w:p>
    <w:p>
      <w:r>
        <w:t>Art. 12 HonO (sGS 963.75). Legitimation zur Kostenbeschwerde. Die Kostenbeschwerde steht nur dem vom Staat zu entschädigenden Rechtsanwalt zu. Der Kostenspruch in Fällen, in denen keine unentgeltliche Prozessführung bewilligt worden ist, kann nur im Namen der in der Sache aktivlegitimierten Partei angefochten werden (Kantonsgericht St. Gallen, Präsident der III. Zivilkammer, 16. November 2010, VZ.2010.35).</w:t>
      </w:r>
    </w:p>
    <w:p>
      <w:pPr>
        <w:pStyle w:val="Heading2"/>
      </w:pPr>
      <w:r>
        <w:t>Volltext</w:t>
      </w:r>
    </w:p>
    <w:p>
      <w:r>
        <w:t>St.Gallen Kantonsgericht Zivilkammern (inkl. Einzelrichter) 16.11.2010 VZ.2010.35</w:t>
      </w:r>
    </w:p>
    <w:p>
      <w:r>
        <w:t>Art. 12 HonO (sGS 963.75). Legitimation zur Kostenbeschwerde. Die Kostenbeschwerde steht nur dem vom Staat zu entschädigenden Rechtsanwalt zu. Der Kostenspruch in Fällen, in denen keine unentgeltliche Prozessführung bewilligt worden ist, kann nur im Namen der in der Sache aktivlegitimierten Partei angefochten werden (Kantonsgericht St. Gallen, Präsident der III. Zivilkammer, 16. November 2010, VZ.2010.35).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