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VZ.2005.8 vom 14. Juni 2005</w:t>
      </w:r>
    </w:p>
    <w:p>
      <w:r>
        <w:t>SG Gerichte, 2005-06-14, DE</w:t>
      </w:r>
    </w:p>
    <w:p>
      <w:r>
        <w:rPr>
          <w:b/>
        </w:rPr>
        <w:t xml:space="preserve">Quelle: </w:t>
      </w:r>
      <w:r>
        <w:t>https://mcp.opencaselaw.ch/entscheid/sg_gerichte_VZ.2005.8</w:t>
      </w:r>
    </w:p>
    <w:p>
      <w:r>
        <w:t>FR: SG_GERICHTE VZ.2005.8 du 14 juin 2005</w:t>
      </w:r>
    </w:p>
    <w:p>
      <w:r>
        <w:t>IT: SG_GERICHTE VZ.2005.8 del 14 giugno 2005</w:t>
      </w:r>
    </w:p>
    <w:p>
      <w:pPr>
        <w:pStyle w:val="Heading2"/>
      </w:pPr>
      <w:r>
        <w:t>Regeste</w:t>
      </w:r>
    </w:p>
    <w:p>
      <w:r>
        <w:t>Art. 9 BV; 29 Abs. 2 BV (SR 101); Art. 184 Abs. 3 OR (SR 220); Art. 254 Abs. 1 lit. c ZPO (sGS 961.2). Behaupten beide Parteien eines Kaufvertrages eine individuelle Preisabrede, kann der massgebende Preis nicht mit Hinweis auf dessen Bestimmbarkeit festgestellt werden. Bei einem auf Indizien gestützten Hauptbeweis kann der Gegenbeweis nicht verweigert werden, wenn das angebotene Beweismittel nicht objektiv oder subjektiv untauglich ist (Kantonsgericht, Präsident der III. Zivilkammer, 14. Juni 2005, VZ.2005.8).</w:t>
      </w:r>
    </w:p>
    <w:p>
      <w:pPr>
        <w:pStyle w:val="Heading2"/>
      </w:pPr>
      <w:r>
        <w:t>Volltext</w:t>
      </w:r>
    </w:p>
    <w:p>
      <w:r>
        <w:t>St.Gallen Kantonsgericht Zivilkammern (inkl. Einzelrichter) 14.06.2005 VZ.2005.8</w:t>
      </w:r>
    </w:p>
    <w:p>
      <w:r>
        <w:t>Art. 9 BV; 29 Abs. 2 BV (SR 101); Art. 184 Abs. 3 OR (SR 220); Art. 254 Abs. 1 lit. c ZPO (sGS 961.2). Behaupten beide Parteien eines Kaufvertrages eine individuelle Preisabrede, kann der massgebende Preis nicht mit Hinweis auf dessen Bestimmbarkeit festgestellt werden. Bei einem auf Indizien gestützten Hauptbeweis kann der Gegenbeweis nicht verweigert werden, wenn das angebotene Beweismittel nicht objektiv oder subjektiv untauglich ist (Kantonsgericht, Präsident der III. Zivilkammer, 14. Juni 2005, VZ.2005.8).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