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VZ.2005.35 vom 19. Juli 2005</w:t>
      </w:r>
    </w:p>
    <w:p>
      <w:r>
        <w:t>SG Gerichte, 2005-07-19, DE</w:t>
      </w:r>
    </w:p>
    <w:p>
      <w:r>
        <w:rPr>
          <w:b/>
        </w:rPr>
        <w:t xml:space="preserve">Quelle: </w:t>
      </w:r>
      <w:r>
        <w:t>https://mcp.opencaselaw.ch/entscheid/sg_gerichte_VZ.2005.35</w:t>
      </w:r>
    </w:p>
    <w:p>
      <w:r>
        <w:t>FR: SG_GERICHTE VZ.2005.35 du 19 juillet 2005</w:t>
      </w:r>
    </w:p>
    <w:p>
      <w:r>
        <w:t>IT: SG_GERICHTE VZ.2005.35 del 19 luglio 2005</w:t>
      </w:r>
    </w:p>
    <w:p>
      <w:pPr>
        <w:pStyle w:val="Heading2"/>
      </w:pPr>
      <w:r>
        <w:t>Regeste</w:t>
      </w:r>
    </w:p>
    <w:p>
      <w:r>
        <w:t>Art. 80 Abs. 2 Ziff. 3 SchKG (SR 281.1); Art. 254 Abs. 1 lit. c ZPO (sGS 961.2). Es ist nicht willkürlich, das Begehren um definitive Rechtsöffnung abzuweisen, wenn bei Steuerschulden lediglich der Konkursverlustschein sowie eine Rechtskraftbescheinigung, welche indessen auf keine bestimmte Veranlagung Bezug nimmt, eingereicht werden (Kantonsgericht, Präsident der III. Zivilkammer, 19. Juli 2005, VZ.2005.35).</w:t>
      </w:r>
    </w:p>
    <w:p>
      <w:pPr>
        <w:pStyle w:val="Heading2"/>
      </w:pPr>
      <w:r>
        <w:t>Volltext</w:t>
      </w:r>
    </w:p>
    <w:p>
      <w:r>
        <w:t>St.Gallen Kantonsgericht Zivilkammern (inkl. Einzelrichter) 19.07.2005 VZ.2005.35</w:t>
      </w:r>
    </w:p>
    <w:p>
      <w:r>
        <w:t>Art. 80 Abs. 2 Ziff. 3 SchKG (SR 281.1); Art. 254 Abs. 1 lit. c ZPO (sGS 961.2). Es ist nicht willkürlich, das Begehren um definitive Rechtsöffnung abzuweisen, wenn bei Steuerschulden lediglich der Konkursverlustschein sowie eine Rechtskraftbescheinigung, welche indessen auf keine bestimmte Veranlagung Bezug nimmt, eingereicht werden (Kantonsgericht, Präsident der III. Zivilkammer, 19. Juli 2005, VZ.2005.35).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