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VZ.2004.4 vom 28. April 2004</w:t>
      </w:r>
    </w:p>
    <w:p>
      <w:r>
        <w:t>SG Gerichte, 2004-04-28, DE</w:t>
      </w:r>
    </w:p>
    <w:p>
      <w:r>
        <w:rPr>
          <w:b/>
        </w:rPr>
        <w:t xml:space="preserve">Quelle: </w:t>
      </w:r>
      <w:r>
        <w:t>https://mcp.opencaselaw.ch/entscheid/sg_gerichte_VZ.2004.4</w:t>
      </w:r>
    </w:p>
    <w:p>
      <w:r>
        <w:t>FR: SG_GERICHTE VZ.2004.4 du 28 avril 2004</w:t>
      </w:r>
    </w:p>
    <w:p>
      <w:r>
        <w:t>IT: SG_GERICHTE VZ.2004.4 del 28 aprile 2004</w:t>
      </w:r>
    </w:p>
    <w:p>
      <w:pPr>
        <w:pStyle w:val="Heading2"/>
      </w:pPr>
      <w:r>
        <w:t>Regeste</w:t>
      </w:r>
    </w:p>
    <w:p>
      <w:r>
        <w:t>Art. 263 Abs. 1 ZPO; Art. 264 Abs. 1 und ZPO; Art. 266 ZPO (sGS 961.2). Einer obsiegenden Partei kann nicht unter Berufung auf eine von ihrem Rechtsvertreter gegenüber der Gegenpartei begangene Verletzung des Gebots der Vermeidung von Interessenkollisionen die Ausrichtung einer Parteientschädigung verweigert werden (Kantonsgericht, Präsidentin der III. Zivilkammer, 28. April 2004, VZ.2004.4).</w:t>
      </w:r>
    </w:p>
    <w:p>
      <w:pPr>
        <w:pStyle w:val="Heading2"/>
      </w:pPr>
      <w:r>
        <w:t>Volltext</w:t>
      </w:r>
    </w:p>
    <w:p>
      <w:r>
        <w:t>St.Gallen Kantonsgericht Zivilkammern (inkl. Einzelrichter) 28.04.2004 VZ.2004.4</w:t>
      </w:r>
    </w:p>
    <w:p>
      <w:r>
        <w:t>Art. 263 Abs. 1 ZPO; Art. 264 Abs. 1 und ZPO; Art. 266 ZPO (sGS 961.2). Einer obsiegenden Partei kann nicht unter Berufung auf eine von ihrem Rechtsvertreter gegenüber der Gegenpartei begangene Verletzung des Gebots der Vermeidung von Interessenkollisionen die Ausrichtung einer Parteientschädigung verweigert werden (Kantonsgericht, Präsidentin der III. Zivilkammer, 28. April 2004, VZ.2004.4).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