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V-2018/267 vom 9. Mai 2019</w:t>
      </w:r>
    </w:p>
    <w:p>
      <w:r>
        <w:t>SG Gerichte, 2019-05-09, DE</w:t>
      </w:r>
    </w:p>
    <w:p>
      <w:r>
        <w:rPr>
          <w:b/>
        </w:rPr>
        <w:t xml:space="preserve">Quelle: </w:t>
      </w:r>
      <w:r>
        <w:t>https://mcp.opencaselaw.ch/entscheid/sg_gerichte_V-2018_267</w:t>
      </w:r>
    </w:p>
    <w:p>
      <w:r>
        <w:t>FR: SG_GERICHTE V-2018/267 du 9 mai 2019</w:t>
      </w:r>
    </w:p>
    <w:p>
      <w:r>
        <w:t>IT: SG_GERICHTE V-2018/267 del 9 maggio 2019</w:t>
      </w:r>
    </w:p>
    <w:p>
      <w:pPr>
        <w:pStyle w:val="Heading2"/>
      </w:pPr>
      <w:r>
        <w:t>Regeste</w:t>
      </w:r>
    </w:p>
    <w:p>
      <w:r>
        <w:t>Art.  315 i.V.m. Art 444 ZGB (SR 210). Zuständigkeit. Bei Zuständigkeitsentscheiden sind Zweckmässigkeitsüberlegungen miteinzubeziehen. Vorliegend ist der Aufenthaltszuständigkeit der Vorrang zu geben (Verwaltungsrekurskommission, Abteilung V, 9. Mai 2019, V-2018/267).</w:t>
      </w:r>
    </w:p>
    <w:p>
      <w:pPr>
        <w:pStyle w:val="Heading2"/>
      </w:pPr>
      <w:r>
        <w:t>Volltext</w:t>
      </w:r>
    </w:p>
    <w:p>
      <w:r>
        <w:t>St.Gallen Verwaltungsrekurskommission 09.05.2019 V-2018/267 Saint-Gall Verwaltungsrekurskommission 09.05.2019 V-2018/267 San Gallo Verwaltungsrekurskommission 09.05.2019 V-2018/267</w:t>
      </w:r>
    </w:p>
    <w:p>
      <w:r>
        <w:t>Art.  315 i.V.m. Art 444 ZGB (SR 210). Zuständigkeit. Bei Zuständigkeitsentscheiden sind Zweckmässigkeitsüberlegungen miteinzubeziehen. Vorliegend ist der Aufenthaltszuständigkeit der Vorrang zu geben (Verwaltungsrekurskommission, Abteilung V, 9. Mai 2019, V-2018/267).</w:t>
      </w:r>
    </w:p>
    <w:p>
      <w:r>
        <w:t>St.Gallen Verwaltungsrekurskommission Saint-Gall Verwaltungsrekurskommission San Gallo Verwaltungsrekurskommission Kindes- und Erwachsenenschutz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