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V-2011/7 vom 26. Januar 2011</w:t>
      </w:r>
    </w:p>
    <w:p>
      <w:r>
        <w:t>SG Gerichte, 2011-01-26, DE</w:t>
      </w:r>
    </w:p>
    <w:p>
      <w:r>
        <w:rPr>
          <w:b/>
        </w:rPr>
        <w:t xml:space="preserve">Quelle: </w:t>
      </w:r>
      <w:r>
        <w:t>https://mcp.opencaselaw.ch/entscheid/sg_gerichte_V-2011_7</w:t>
      </w:r>
    </w:p>
    <w:p>
      <w:r>
        <w:t>FR: SG_GERICHTE V-2011/7 du 26 janvier 2011</w:t>
      </w:r>
    </w:p>
    <w:p>
      <w:r>
        <w:t>IT: SG_GERICHTE V-2011/7 del 26 gennaio 2011</w:t>
      </w:r>
    </w:p>
    <w:p>
      <w:pPr>
        <w:pStyle w:val="Heading2"/>
      </w:pPr>
      <w:r>
        <w:t>Regeste</w:t>
      </w:r>
    </w:p>
    <w:p>
      <w:r>
        <w:t>Art. 397a Abs. 1 ZGB (SR 210). Die Annahme des Einweisungsgrundes der Geisteskrankheit oder Geistesschwäche im juristischen Sinne setzt voraus, dass entsprechende Störungszeichen für einen juristischen Laien erkennbar sind. Ungewöhnliche Verhaltensweisen, welche noch nicht als solche Störung erscheinen, reichen dazu nicht aus.</w:t>
      </w:r>
    </w:p>
    <w:p>
      <w:pPr>
        <w:pStyle w:val="Heading2"/>
      </w:pPr>
      <w:r>
        <w:t>Volltext</w:t>
      </w:r>
    </w:p>
    <w:p>
      <w:r>
        <w:t>St.Gallen Verwaltungsrekurskommission 26.01.2011 V-2011/7 Saint-Gall Verwaltungsrekurskommission 26.01.2011 V-2011/7 San Gallo Verwaltungsrekurskommission 26.01.2011 V-2011/7</w:t>
      </w:r>
    </w:p>
    <w:p>
      <w:r>
        <w:t>Art. 397a Abs. 1 ZGB (SR 210). Die Annahme des Einweisungsgrundes der Geisteskrankheit oder Geistesschwäche im juristischen Sinne setzt voraus, dass entsprechende Störungszeichen für einen juristischen Laien erkennbar sind. Ungewöhnliche Verhaltensweisen, welche noch nicht als solche Störung erscheinen, reichen dazu nicht aus.</w:t>
      </w:r>
    </w:p>
    <w:p>
      <w:r>
        <w:t>St.Gallen Verwaltungsrekurskommission Saint-Gall Verwaltungsrekurskommission San Gallo Verwaltungsrekurskommission Kindes- und Erwachsenenschutz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