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2021/5 vom 3. Januar 2019</w:t>
      </w:r>
    </w:p>
    <w:p>
      <w:r>
        <w:t>SG Gerichte, 2019-01-03, DE</w:t>
      </w:r>
    </w:p>
    <w:p>
      <w:r>
        <w:rPr>
          <w:b/>
        </w:rPr>
        <w:t xml:space="preserve">Quelle: </w:t>
      </w:r>
      <w:r>
        <w:t>https://mcp.opencaselaw.ch/entscheid/sg_gerichte_UV_2021_5</w:t>
      </w:r>
    </w:p>
    <w:p>
      <w:r>
        <w:t>FR: SG_GERICHTE UV 2021/5 du 3 janvier 2019</w:t>
      </w:r>
    </w:p>
    <w:p>
      <w:r>
        <w:t>IT: SG_GERICHTE UV 2021/5 del 3 gennaio 2019</w:t>
      </w:r>
    </w:p>
    <w:p>
      <w:pPr>
        <w:pStyle w:val="Heading2"/>
      </w:pPr>
      <w:r>
        <w:t>Regeste</w:t>
      </w:r>
    </w:p>
    <w:p>
      <w:r>
        <w:t>Art. 6 UVG: Gestützt auf die mit der Aktenlage übereinstimmende kreisärztliche Beurteilung ist davon auszugehen, dass die Beschwerdegegnerin das Erreichen des Status quo sine zu Recht angenommen und ihre Leistungen rund 20 Monate nach dem Unfall vom 3. Januar 2019 per 18. September 2020 eingestellt hat (Entscheid des Versicherungsgerichts des Kantons St. Gallen vom 25. November 2021, UV 2021/5).</w:t>
      </w:r>
    </w:p>
    <w:p>
      <w:pPr>
        <w:pStyle w:val="Heading2"/>
      </w:pPr>
      <w:r>
        <w:t>Volltext</w:t>
      </w:r>
    </w:p>
    <w:p>
      <w:r>
        <w:t>St.Gallen Versicherungsgericht 25.11.2021 UV 2021/5 Saint-Gall Versicherungsgericht 25.11.2021 UV 2021/5 San Gallo Versicherungsgericht 25.11.2021 UV 2021/5</w:t>
      </w:r>
    </w:p>
    <w:p>
      <w:r>
        <w:t>Art. 6 UVG: Gestützt auf die mit der Aktenlage übereinstimmende kreisärztliche Beurteilung ist davon auszugehen, dass die Beschwerdegegnerin das Erreichen des Status quo sine zu Recht angenommen und ihre Leistungen rund 20 Monate nach dem Unfall vom 3. Januar 2019 per 18. September 2020 eingestellt hat (Entscheid des Versicherungsgerichts des Kantons St. Gallen vom 25. November 2021, UV 2021/5).</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