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2017/90 vom 1. August 2017</w:t>
      </w:r>
    </w:p>
    <w:p>
      <w:r>
        <w:t>SG Gerichte, 2017-08-01, DE</w:t>
      </w:r>
    </w:p>
    <w:p>
      <w:r>
        <w:rPr>
          <w:b/>
        </w:rPr>
        <w:t xml:space="preserve">Quelle: </w:t>
      </w:r>
      <w:r>
        <w:t>https://mcp.opencaselaw.ch/entscheid/sg_gerichte_UV_2017_90</w:t>
      </w:r>
    </w:p>
    <w:p>
      <w:r>
        <w:t>FR: SG_GERICHTE UV 2017/90 du 1 août 2017</w:t>
      </w:r>
    </w:p>
    <w:p>
      <w:r>
        <w:t>IT: SG_GERICHTE UV 2017/90 del 1 agosto 2017</w:t>
      </w:r>
    </w:p>
    <w:p>
      <w:pPr>
        <w:pStyle w:val="Heading2"/>
      </w:pPr>
      <w:r>
        <w:t>Regeste</w:t>
      </w:r>
    </w:p>
    <w:p>
      <w:r>
        <w:t>Art. 6, Art. 17 Abs. 1, Art. 25 Abs. 1 ATSG, Art. 19 Abs. 1 UVG. Die Rentenanpassungen und Rückforderungen erfolgten rechtmässig. Im Ergebnis nicht zu beanstanden ist weiter, dass per 1. August 2017 keine Taggeldleistungen mehr erfolgten. Abweisung der Beschwerde (Entscheid des Versicherungsgerichts des Kantons St. Gallen vom 23. Januar 2020, UV 2017/90).</w:t>
      </w:r>
    </w:p>
    <w:p>
      <w:pPr>
        <w:pStyle w:val="Heading2"/>
      </w:pPr>
      <w:r>
        <w:t>Volltext</w:t>
      </w:r>
    </w:p>
    <w:p>
      <w:r>
        <w:t>St.Gallen Versicherungsgericht 23.01.2020 UV 2017/90 Saint-Gall Versicherungsgericht 23.01.2020 UV 2017/90 San Gallo Versicherungsgericht 23.01.2020 UV 2017/90</w:t>
      </w:r>
    </w:p>
    <w:p>
      <w:r>
        <w:t>Art. 6, Art. 17 Abs. 1, Art. 25 Abs. 1 ATSG, Art. 19 Abs. 1 UVG. Die Rentenanpassungen und Rückforderungen erfolgten rechtmässig. Im Ergebnis nicht zu beanstanden ist weiter, dass per 1. August 2017 keine Taggeldleistungen mehr erfolgten. Abweisung der Beschwerde (Entscheid des Versicherungsgerichts des Kantons St. Gallen vom 23. Januar 2020, UV 2017/90).</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