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2015/29 vom 20. Dezember 2016</w:t>
      </w:r>
    </w:p>
    <w:p>
      <w:r>
        <w:t>SG Gerichte, 2016-12-20, DE</w:t>
      </w:r>
    </w:p>
    <w:p>
      <w:r>
        <w:rPr>
          <w:b/>
        </w:rPr>
        <w:t xml:space="preserve">Quelle: </w:t>
      </w:r>
      <w:r>
        <w:t>https://mcp.opencaselaw.ch/entscheid/sg_gerichte_UV_2015_29</w:t>
      </w:r>
    </w:p>
    <w:p>
      <w:r>
        <w:t>FR: SG_GERICHTE UV 2015/29 du 20 décembre 2016</w:t>
      </w:r>
    </w:p>
    <w:p>
      <w:r>
        <w:t>IT: SG_GERICHTE UV 2015/29 del 20 dicembre 2016</w:t>
      </w:r>
    </w:p>
    <w:p>
      <w:pPr>
        <w:pStyle w:val="Heading2"/>
      </w:pPr>
      <w:r>
        <w:t>Regeste</w:t>
      </w:r>
    </w:p>
    <w:p>
      <w:r>
        <w:t>Die Leistungseinstellung durch den Unfallversicherer erfolgte zu Recht. Adäquanz bei Anwendung der Schleudertrauma-Praxis verneint (Entscheid des Versicherungsgerichts des Kantons St. Gallen vom 20. Dezember 2016, UV 2015/29).Bestätigt durch Urteil des Bundesgerichts 8C_58/2017.Entscheid vom 20. Dezember 2016</w:t>
      </w:r>
    </w:p>
    <w:p>
      <w:pPr>
        <w:pStyle w:val="Heading2"/>
      </w:pPr>
      <w:r>
        <w:t>Volltext</w:t>
      </w:r>
    </w:p>
    <w:p>
      <w:r>
        <w:t>St.Gallen Versicherungsgericht 20.12.2016 UV 2015/29 Saint-Gall Versicherungsgericht 20.12.2016 UV 2015/29 San Gallo Versicherungsgericht 20.12.2016 UV 2015/29</w:t>
      </w:r>
    </w:p>
    <w:p>
      <w:r>
        <w:t>Die Leistungseinstellung durch den Unfallversicherer erfolgte zu Recht. Adäquanz bei Anwendung der Schleudertrauma-Praxis verneint (Entscheid des Versicherungsgerichts des Kantons St. Gallen vom 20. Dezember 2016, UV 2015/29).Bestätigt durch Urteil des Bundesgerichts 8C_58/2017.Entscheid vom 20. Dezember 2016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