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ST.2006.111 vom 6. März 2007</w:t>
      </w:r>
    </w:p>
    <w:p>
      <w:r>
        <w:t>SG Gerichte, 2007-03-06, DE</w:t>
      </w:r>
    </w:p>
    <w:p>
      <w:r>
        <w:rPr>
          <w:b/>
        </w:rPr>
        <w:t xml:space="preserve">Quelle: </w:t>
      </w:r>
      <w:r>
        <w:t>https://mcp.opencaselaw.ch/entscheid/sg_gerichte_ST.2006.111</w:t>
      </w:r>
    </w:p>
    <w:p>
      <w:r>
        <w:t>FR: SG_GERICHTE ST.2006.111 du 6 mars 2007</w:t>
      </w:r>
    </w:p>
    <w:p>
      <w:r>
        <w:t>IT: SG_GERICHTE ST.2006.111 del 6 marzo 2007</w:t>
      </w:r>
    </w:p>
    <w:p>
      <w:pPr>
        <w:pStyle w:val="Heading2"/>
      </w:pPr>
      <w:r>
        <w:t>Regeste</w:t>
      </w:r>
    </w:p>
    <w:p>
      <w:r>
        <w:t>Art. 91 Abs. 2 SVG, Art. 2 Abs. 2 StGB. Strafzumessung beim Fahren in fahrunfähigem Zustand nach der Einnahme ärztlich verschriebener Medikamente. Ob eine neue Bestimmung im Vergleich zur alten milder ist, entscheidet sich nicht aufgrund eines abstrakten Vergleichs. Massgebend ist die konkrete Betrachtungsweise (Anwendungsfall der lex mitior) (Kantonsgericht, Strafkammer, 6. März 2007, ST.2006.111).</w:t>
      </w:r>
    </w:p>
    <w:p>
      <w:pPr>
        <w:pStyle w:val="Heading2"/>
      </w:pPr>
      <w:r>
        <w:t>Volltext</w:t>
      </w:r>
    </w:p>
    <w:p>
      <w:r>
        <w:t>St.Gallen Kantonsgericht Strafkammer und Anklagekammer 06.03.2007 ST.2006.111 Saint-Gall Kantonsgericht Strafkammer und Anklagekammer 06.03.2007 ST.2006.111 San Gallo Kantonsgericht Strafkammer und Anklagekammer 06.03.2007 ST.2006.111</w:t>
      </w:r>
    </w:p>
    <w:p>
      <w:r>
        <w:t>Art. 91 Abs. 2 SVG, Art. 2 Abs. 2 StGB. Strafzumessung beim Fahren in fahrunfähigem Zustand nach der Einnahme ärztlich verschriebener Medikamente. Ob eine neue Bestimmung im Vergleich zur alten milder ist, entscheidet sich nicht aufgrund eines abstrakten Vergleichs. Massgebend ist die konkrete Betrachtungsweise (Anwendungsfall der lex mitior) (Kantonsgericht, Strafkammer, 6. März 2007, ST.2006.111).</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