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ST.2006.110 vom 22. Januar 2007</w:t>
      </w:r>
    </w:p>
    <w:p>
      <w:r>
        <w:t>SG Gerichte, 2007-01-22, DE</w:t>
      </w:r>
    </w:p>
    <w:p>
      <w:r>
        <w:rPr>
          <w:b/>
        </w:rPr>
        <w:t xml:space="preserve">Quelle: </w:t>
      </w:r>
      <w:r>
        <w:t>https://mcp.opencaselaw.ch/entscheid/sg_gerichte_ST.2006.110</w:t>
      </w:r>
    </w:p>
    <w:p>
      <w:r>
        <w:t>FR: SG_GERICHTE ST.2006.110 du 22 janvier 2007</w:t>
      </w:r>
    </w:p>
    <w:p>
      <w:r>
        <w:t>IT: SG_GERICHTE ST.2006.110 del 22 gennaio 2007</w:t>
      </w:r>
    </w:p>
    <w:p>
      <w:pPr>
        <w:pStyle w:val="Heading2"/>
      </w:pPr>
      <w:r>
        <w:t>Regeste</w:t>
      </w:r>
    </w:p>
    <w:p>
      <w:r>
        <w:t>Art. 90 Ziff. 2 SVG, Art. 47, 34, 42 Abs. 1 i.V.m. 44 Abs. 1 StGB, Fahren mit 75 km/h innerorts, grobe Verkehrsregelverletzung; Strafzumessung (Kantonsgericht, Strafkammer, 22. Januar 2007, ST.2006.110).</w:t>
      </w:r>
    </w:p>
    <w:p>
      <w:pPr>
        <w:pStyle w:val="Heading2"/>
      </w:pPr>
      <w:r>
        <w:t>Volltext</w:t>
      </w:r>
    </w:p>
    <w:p>
      <w:r>
        <w:t>St.Gallen Kantonsgericht Strafkammer und Anklagekammer 22.01.2007 ST.2006.110 Saint-Gall Kantonsgericht Strafkammer und Anklagekammer 22.01.2007 ST.2006.110 San Gallo Kantonsgericht Strafkammer und Anklagekammer 22.01.2007 ST.2006.110</w:t>
      </w:r>
    </w:p>
    <w:p>
      <w:r>
        <w:t>Art. 90 Ziff. 2 SVG, Art. 47, 34, 42 Abs. 1 i.V.m. 44 Abs. 1 StGB, Fahren mit 75 km/h innerorts, grobe Verkehrsregelverletzung; Strafzumessung (Kantonsgericht, Strafkammer, 22. Januar 2007, ST.2006.110).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