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RZ.2010.6 vom 9. März 2010</w:t>
      </w:r>
    </w:p>
    <w:p>
      <w:r>
        <w:t>SG Gerichte, 2010-03-09, DE</w:t>
      </w:r>
    </w:p>
    <w:p>
      <w:r>
        <w:rPr>
          <w:b/>
        </w:rPr>
        <w:t xml:space="preserve">Quelle: </w:t>
      </w:r>
      <w:r>
        <w:t>https://mcp.opencaselaw.ch/entscheid/sg_gerichte_RZ.2010.6</w:t>
      </w:r>
    </w:p>
    <w:p>
      <w:r>
        <w:t>FR: SG_GERICHTE RZ.2010.6 du 9 mars 2010</w:t>
      </w:r>
    </w:p>
    <w:p>
      <w:r>
        <w:t>IT: SG_GERICHTE RZ.2010.6 del 9 marzo 2010</w:t>
      </w:r>
    </w:p>
    <w:p>
      <w:pPr>
        <w:pStyle w:val="Heading2"/>
      </w:pPr>
      <w:r>
        <w:t>Regeste</w:t>
      </w:r>
    </w:p>
    <w:p>
      <w:r>
        <w:t>Art. 16 und Art. 196 lit. c in Verb. m. 217 lit. a ZPO (sGS 961.2); Art. 2 ZPV (sGS 961.21); Art. 15 lit. d in Verb. m. 16 Abs. 2 GO (sGS 941.21). Gegen Verfügungen des Einzelrichters des Kreisgerichts auf dem Gebiet der Rechtshilfe ist der Rekurs zulässig. Intern ist der Präsident der III. Zivilkammer als Einzelrichter zuständig (Kantonsgericht St. Gallen, Präsident der III. Zivilkammer als Einzelrichter, 9. März 2010, RZ.2010.6).</w:t>
      </w:r>
    </w:p>
    <w:p>
      <w:pPr>
        <w:pStyle w:val="Heading2"/>
      </w:pPr>
      <w:r>
        <w:t>Volltext</w:t>
      </w:r>
    </w:p>
    <w:p>
      <w:r>
        <w:t>St.Gallen Kantonsgericht Zivilkammern (inkl. Einzelrichter) 09.03.2010 RZ.2010.6</w:t>
      </w:r>
    </w:p>
    <w:p>
      <w:r>
        <w:t>Art. 16 und Art. 196 lit. c in Verb. m. 217 lit. a ZPO (sGS 961.2); Art. 2 ZPV (sGS 961.21); Art. 15 lit. d in Verb. m. 16 Abs. 2 GO (sGS 941.21). Gegen Verfügungen des Einzelrichters des Kreisgerichts auf dem Gebiet der Rechtshilfe ist der Rekurs zulässig. Intern ist der Präsident der III. Zivilkammer als Einzelrichter zuständig (Kantonsgericht St. Gallen, Präsident der III. Zivilkammer als Einzelrichter, 9. März 2010, RZ.2010.6).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