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RZ.2008.22 vom 7. Mai 2008</w:t>
      </w:r>
    </w:p>
    <w:p>
      <w:r>
        <w:t>SG Gerichte, 2008-05-07, DE</w:t>
      </w:r>
    </w:p>
    <w:p>
      <w:r>
        <w:rPr>
          <w:b/>
        </w:rPr>
        <w:t xml:space="preserve">Quelle: </w:t>
      </w:r>
      <w:r>
        <w:t>https://mcp.opencaselaw.ch/entscheid/sg_gerichte_RZ.2008.22</w:t>
      </w:r>
    </w:p>
    <w:p>
      <w:r>
        <w:t>FR: SG_GERICHTE RZ.2008.22 du 7 mai 2008</w:t>
      </w:r>
    </w:p>
    <w:p>
      <w:r>
        <w:t>IT: SG_GERICHTE RZ.2008.22 del 7 maggio 2008</w:t>
      </w:r>
    </w:p>
    <w:p>
      <w:pPr>
        <w:pStyle w:val="Heading2"/>
      </w:pPr>
      <w:r>
        <w:t>Regeste</w:t>
      </w:r>
    </w:p>
    <w:p>
      <w:r>
        <w:t>Art. 257d Abs. 1 und 2 und Art. 274d Abs. 3 OR (SR 220). Die ausserordentliche Kündigung ist rechtswirksam, wenn sie formgerecht mittels amtlichen Formular und unter Einhaltung der Frist von Art. 257d Abs. 2 OR erfolgt (Kantonsgericht St. Gallen, Einzelrichter für Rekurse im Obligationenrecht, 7. Mai 2008, RZ.2008.22).</w:t>
      </w:r>
    </w:p>
    <w:p>
      <w:pPr>
        <w:pStyle w:val="Heading2"/>
      </w:pPr>
      <w:r>
        <w:t>Volltext</w:t>
      </w:r>
    </w:p>
    <w:p>
      <w:r>
        <w:t>St.Gallen Kantonsgericht Zivilkammern (inkl. Einzelrichter) 07.05.2008 RZ.2008.22</w:t>
      </w:r>
    </w:p>
    <w:p>
      <w:r>
        <w:t>Art. 257d Abs. 1 und 2 und Art. 274d Abs. 3 OR (SR 220). Die ausserordentliche Kündigung ist rechtswirksam, wenn sie formgerecht mittels amtlichen Formular und unter Einhaltung der Frist von Art. 257d Abs. 2 OR erfolgt (Kantonsgericht St. Gallen, Einzelrichter für Rekurse im Obligationenrecht, 7. Mai 2008, RZ.2008.22).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