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RZ.2005.17 vom 20. Juli 2005</w:t>
      </w:r>
    </w:p>
    <w:p>
      <w:r>
        <w:t>SG Gerichte, 2005-07-20, DE</w:t>
      </w:r>
    </w:p>
    <w:p>
      <w:r>
        <w:rPr>
          <w:b/>
        </w:rPr>
        <w:t xml:space="preserve">Quelle: </w:t>
      </w:r>
      <w:r>
        <w:t>https://mcp.opencaselaw.ch/entscheid/sg_gerichte_RZ.2005.17</w:t>
      </w:r>
    </w:p>
    <w:p>
      <w:r>
        <w:t>FR: SG_GERICHTE RZ.2005.17 du 20 juillet 2005</w:t>
      </w:r>
    </w:p>
    <w:p>
      <w:r>
        <w:t>IT: SG_GERICHTE RZ.2005.17 del 20 luglio 2005</w:t>
      </w:r>
    </w:p>
    <w:p>
      <w:pPr>
        <w:pStyle w:val="Heading2"/>
      </w:pPr>
      <w:r>
        <w:t>Regeste</w:t>
      </w:r>
    </w:p>
    <w:p>
      <w:r>
        <w:t>Art. 340, 340b OR; Art. 198 ZPO. Vorsorgliche Vollstreckung eines Konkurrenzverbotes. Ablehnung des Begehrens, wenn die wahrscheinliche Begründetheit des Hauptanspruchs nicht glaubhaft gemacht ist (Kantonsgericht St. Gallen, Einzelrichter für Rekurse im Obligationenrecht, 20. Juli 2005, RZ.2005.17)</w:t>
      </w:r>
    </w:p>
    <w:p>
      <w:pPr>
        <w:pStyle w:val="Heading2"/>
      </w:pPr>
      <w:r>
        <w:t>Volltext</w:t>
      </w:r>
    </w:p>
    <w:p>
      <w:r>
        <w:t>St.Gallen Kantonsgericht Zivilkammern (inkl. Einzelrichter) 20.07.2005 RZ.2005.17</w:t>
      </w:r>
    </w:p>
    <w:p>
      <w:r>
        <w:t>Art. 340, 340b OR; Art. 198 ZPO. Vorsorgliche Vollstreckung eines Konkurrenzverbotes. Ablehnung des Begehrens, wenn die wahrscheinliche Begründetheit des Hauptanspruchs nicht glaubhaft gemacht ist (Kantonsgericht St. Gallen, Einzelrichter für Rekurse im Obligationenrecht, 20. Juli 2005, RZ.2005.17)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