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K 2015/7 vom 17. September 2018</w:t>
      </w:r>
    </w:p>
    <w:p>
      <w:r>
        <w:t>SG Gerichte, 2018-09-17, DE</w:t>
      </w:r>
    </w:p>
    <w:p>
      <w:r>
        <w:rPr>
          <w:b/>
        </w:rPr>
        <w:t xml:space="preserve">Quelle: </w:t>
      </w:r>
      <w:r>
        <w:t>https://mcp.opencaselaw.ch/entscheid/sg_gerichte_K_2015_7</w:t>
      </w:r>
    </w:p>
    <w:p>
      <w:r>
        <w:t>FR: SG_GERICHTE K 2015/7 du 17 septembre 2018</w:t>
      </w:r>
    </w:p>
    <w:p>
      <w:r>
        <w:t>IT: SG_GERICHTE K 2015/7 del 17 settembre 2018</w:t>
      </w:r>
    </w:p>
    <w:p>
      <w:pPr>
        <w:pStyle w:val="Heading2"/>
      </w:pPr>
      <w:r>
        <w:t>Regeste</w:t>
      </w:r>
    </w:p>
    <w:p>
      <w:r>
        <w:t>Personalrecht, Art. 21, Art. 27, Art. 30, Art. 46 Abs. 1 lit. a Ziff. 1 und Art. 47 Abs. 1 PersG, Art. 104 Abs. 3 PersV. Die Frist von drei Jahren, während welcher bei Krankheit der Lohn weiterhin zu bezahlen ist, ist als dynamische Rahmenfrist zu verstehen. Die Wirkung der während dieser Zeit ausgesprochenen Kündigung wird – jedenfalls in der vorliegenden Konstellation – entsprechend mit dem Anspruch auf Lohnfortzahlung hinausgeschoben. Weitere Ansprüche auf Lohnfortzahlung, auf Strafzahlung wegen missbräuchlicher Kündigung, auf Abgangsentschädigung oder auf Schadenersatz oder Genugtuung bestehen im konkreten Fall nicht (Verwaltungsgericht, K 2015/7). Die gegen dieses Urteil erhobene Beschwerde ans Bundesgericht wurde mit Urteil vom 17. September 2018 abgewiesen (Verfahren 8C_347/2018).</w:t>
      </w:r>
    </w:p>
    <w:p>
      <w:pPr>
        <w:pStyle w:val="Heading2"/>
      </w:pPr>
      <w:r>
        <w:t>Volltext</w:t>
      </w:r>
    </w:p>
    <w:p>
      <w:r>
        <w:t>St.Gallen Verwaltungsgericht 22.02.2018 K 2015/7 Saint-Gall Verwaltungsgericht 22.02.2018 K 2015/7 San Gallo Verwaltungsgericht 22.02.2018 K 2015/7</w:t>
      </w:r>
    </w:p>
    <w:p>
      <w:r>
        <w:t>Personalrecht, Art. 21, Art. 27, Art. 30, Art. 46 Abs. 1 lit. a Ziff. 1 und Art. 47 Abs. 1 PersG, Art. 104 Abs. 3 PersV.</w:t>
      </w:r>
    </w:p>
    <w:p>
      <w:r>
        <w:t>Die Frist von drei Jahren, während welcher bei Krankheit der Lohn weiterhin zu bezahlen ist, ist als dynamische Rahmenfrist zu verstehen. Die Wirkung der während dieser Zeit ausgesprochenen Kündigung wird – jedenfalls in der vorliegenden Konstellation – entsprechend mit dem Anspruch auf Lohnfortzahlung hinausgeschoben. Weitere Ansprüche auf Lohnfortzahlung, auf Strafzahlung wegen missbräuchlicher Kündigung, auf Abgangsentschädigung oder auf Schadenersatz oder Genugtuung bestehen im konkreten Fall nicht (Verwaltungsgericht, K 2015/7).</w:t>
      </w:r>
    </w:p>
    <w:p>
      <w:r>
        <w:t>Die gegen dieses Urteil erhobene Beschwerde ans Bundesgericht wurde mit Urteil vom 17. September 2018 abgewiesen (Verfahren 8C_347/2018).</w:t>
      </w:r>
    </w:p>
    <w:p>
      <w:r>
        <w:t>St.Gallen Verwaltungsgericht Saint-Gall Verwaltungsgericht San Gallo Verwaltungsgericht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