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KES.2013.5 vom 23. August 2013</w:t>
      </w:r>
    </w:p>
    <w:p>
      <w:r>
        <w:t>SG Gerichte, 2013-08-23, DE</w:t>
      </w:r>
    </w:p>
    <w:p>
      <w:r>
        <w:rPr>
          <w:b/>
        </w:rPr>
        <w:t xml:space="preserve">Quelle: </w:t>
      </w:r>
      <w:r>
        <w:t>https://mcp.opencaselaw.ch/entscheid/sg_gerichte_KES.2013.5</w:t>
      </w:r>
    </w:p>
    <w:p>
      <w:r>
        <w:t>FR: SG_GERICHTE KES.2013.5 du 23 août 2013</w:t>
      </w:r>
    </w:p>
    <w:p>
      <w:r>
        <w:t>IT: SG_GERICHTE KES.2013.5 del 23 agosto 2013</w:t>
      </w:r>
    </w:p>
    <w:p>
      <w:pPr>
        <w:pStyle w:val="Heading2"/>
      </w:pPr>
      <w:r>
        <w:t>Regeste</w:t>
      </w:r>
    </w:p>
    <w:p>
      <w:r>
        <w:t>Art. 108 ZPO: Aufwand, der dem Gericht im Zusammenhang mit einer zur Prüfung der Wahrung der Beschwerdefrist erforderlichen Zeugenbefragung entsteht, kann gegebenenfalls unter dem Titel unnötige Kosten nach Art. 108 ZPO dem Vertreter als Verursacher auferlegt werden (Kantonsgericht, Einzelrichter im Familienrecht, 23. August 2013, KES.2013.5).</w:t>
      </w:r>
    </w:p>
    <w:p>
      <w:pPr>
        <w:pStyle w:val="Heading2"/>
      </w:pPr>
      <w:r>
        <w:t>Volltext</w:t>
      </w:r>
    </w:p>
    <w:p>
      <w:r>
        <w:t>St.Gallen Kantonsgericht Zivilkammern (inkl. Einzelrichter) 23.08.2013 KES.2013.5</w:t>
      </w:r>
    </w:p>
    <w:p>
      <w:r>
        <w:t>Art. 108 ZPO: Aufwand, der dem Gericht im Zusammenhang mit einer zur Prüfung der Wahrung der Beschwerdefrist erforderlichen Zeugenbefragung entsteht, kann gegebenenfalls unter dem Titel unnötige Kosten nach Art. 108 ZPO dem Vertreter als Verursacher auferlegt werden (Kantonsgericht, Einzelrichter im Familienrecht, 23. August 2013, KES.2013.5).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