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I/2-2018/63 vom 25. April 2019</w:t>
      </w:r>
    </w:p>
    <w:p>
      <w:r>
        <w:t>SG Gerichte, 2019-04-25, DE</w:t>
      </w:r>
    </w:p>
    <w:p>
      <w:r>
        <w:rPr>
          <w:b/>
        </w:rPr>
        <w:t xml:space="preserve">Quelle: </w:t>
      </w:r>
      <w:r>
        <w:t>https://mcp.opencaselaw.ch/entscheid/sg_gerichte_I_2-2018_63</w:t>
      </w:r>
    </w:p>
    <w:p>
      <w:r>
        <w:t>FR: SG_GERICHTE I/2-2018/63 du 25 avril 2019</w:t>
      </w:r>
    </w:p>
    <w:p>
      <w:r>
        <w:t>IT: SG_GERICHTE I/2-2018/63 del 25 aprile 2019</w:t>
      </w:r>
    </w:p>
    <w:p>
      <w:pPr>
        <w:pStyle w:val="Heading2"/>
      </w:pPr>
      <w:r>
        <w:t>Regeste</w:t>
      </w:r>
    </w:p>
    <w:p>
      <w:r>
        <w:t>Art. 31 und 51 StrG (sGS 731.2). Die Erstellung einer Meteorwasserableitung an einer Gemeindestrasse 3. Klasse durch die politische Gemeinde fällt unter den Strassenbau und ist kein Strassenunterhalt (VRKE I/2-2018/63 vom 25. April 2019).</w:t>
      </w:r>
    </w:p>
    <w:p>
      <w:pPr>
        <w:pStyle w:val="Heading2"/>
      </w:pPr>
      <w:r>
        <w:t>Volltext</w:t>
      </w:r>
    </w:p>
    <w:p>
      <w:r>
        <w:t>St.Gallen Verwaltungsrekurskommission 25.04.2019 I/2-2018/63 Saint-Gall Verwaltungsrekurskommission 25.04.2019 I/2-2018/63 San Gallo Verwaltungsrekurskommission 25.04.2019 I/2-2018/63</w:t>
      </w:r>
    </w:p>
    <w:p>
      <w:r>
        <w:t>Art. 31 und 51 StrG (sGS 731.2). Die Erstellung einer Meteorwasserableitung an einer Gemeindestrasse 3. Klasse durch die politische Gemeinde fällt unter den Strassenbau und ist kein Strassenunterhalt (VRKE I/2-2018/63 vom 25. April 2019).</w:t>
      </w:r>
    </w:p>
    <w:p>
      <w:r>
        <w:t>St.Gallen Verwaltungsrekurskommission Saint-Gall Verwaltungsrekurskommission San Gallo Verwaltungsrekurskommission Abgaben und öffentliche Dienstpflichten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