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I/2-2012/3 vom 19. Dezember 2013</w:t>
      </w:r>
    </w:p>
    <w:p>
      <w:r>
        <w:t>SG Gerichte, 2013-12-19, DE</w:t>
      </w:r>
    </w:p>
    <w:p>
      <w:r>
        <w:rPr>
          <w:b/>
        </w:rPr>
        <w:t xml:space="preserve">Quelle: </w:t>
      </w:r>
      <w:r>
        <w:t>https://mcp.opencaselaw.ch/entscheid/sg_gerichte_I_2-2012_3</w:t>
      </w:r>
    </w:p>
    <w:p>
      <w:r>
        <w:t>FR: SG_GERICHTE I/2-2012/3 du 19 décembre 2013</w:t>
      </w:r>
    </w:p>
    <w:p>
      <w:r>
        <w:t>IT: SG_GERICHTE I/2-2012/3 del 19 dicembre 2013</w:t>
      </w:r>
    </w:p>
    <w:p>
      <w:pPr>
        <w:pStyle w:val="Heading2"/>
      </w:pPr>
      <w:r>
        <w:t>Regeste</w:t>
      </w:r>
    </w:p>
    <w:p>
      <w:r>
        <w:t>Art. 241 Abs. 2 und Art. 244 lit. f i.V.m. Art. 32 Abs. 1 lit. b StG (sGS 811.1). Werden verschiedene Grundstücke aus dem Privatvermögen eines Einzelunternehmers in dessen Geschäftsvermögen und anschliessend über mehrere Zwischenschritte in eine von der Betriebsgesellschaft getrennte Immobilien-AG eingebracht, so sind die Voraussetzungen der Steuerumgehung erfüllt. Es liegt keine steuerbefreite Umstrukturierung, sondern eine zivilrechtliche Handänderung vor (Verwaltungsrekurskommission, Abteilung I/2, 30. August 2012, I/2-2012/3). Dieser Entscheid wurde an das Verwaltungsgericht weitergezogen. Das Verwaltungsgericht hat die Beschwerde mit Entscheid vom 19. Dezember 2013 abgewiesen (Verfahren B 2012/223). Die gegen dieses Urteil erhobene Beschwerde ans Bundesgericht wurde mit Urteil vom 10. Juni 2014 gutgeheissen (Verfahren 2C_137/2014).</w:t>
      </w:r>
    </w:p>
    <w:p>
      <w:pPr>
        <w:pStyle w:val="Heading2"/>
      </w:pPr>
      <w:r>
        <w:t>Volltext</w:t>
      </w:r>
    </w:p>
    <w:p>
      <w:r>
        <w:t>St.Gallen Verwaltungsrekurskommission 30.08.2012 I/2-2012/3 Saint-Gall Verwaltungsrekurskommission 30.08.2012 I/2-2012/3 San Gallo Verwaltungsrekurskommission 30.08.2012 I/2-2012/3</w:t>
      </w:r>
    </w:p>
    <w:p>
      <w:r>
        <w:t>Art. 241 Abs. 2 und Art. 244 lit. f i.V.m. Art. 32 Abs. 1 lit. b StG (sGS 811.1). Werden verschiedene Grundstücke aus dem Privatvermögen eines Einzelunternehmers in dessen Geschäftsvermögen und anschliessend über mehrere Zwischenschritte in eine von der Betriebsgesellschaft getrennte Immobilien-AG eingebracht, so sind die Voraussetzungen der Steuerumgehung erfüllt. Es liegt keine steuerbefreite Umstrukturierung, sondern eine zivilrechtliche Handänderung vor (Verwaltungsrekurskommission, Abteilung I/2, 30. August 2012, I/2-2012/3).</w:t>
      </w:r>
    </w:p>
    <w:p>
      <w:r>
        <w:t>Dieser Entscheid wurde an das Verwaltungsgericht weitergezogen. Das Verwaltungsgericht hat die Beschwerde mit Entscheid vom 19. Dezember 2013 abgewiesen (Verfahren B 2012/223). Die gegen dieses Urteil erhobene Beschwerde ans Bundesgericht wurde mit Urteil vom 10. Juni 2014 gutgeheissen (Verfahren 2C_137/2014).</w:t>
      </w:r>
    </w:p>
    <w:p>
      <w:r>
        <w:t>St.Gallen Verwaltungsrekurskommission Saint-Gall Verwaltungsrekurskommission San Gallo Verwaltungsrekurskommission Abgaben und öffentliche Dienstpflichten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