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I/2-2004/16 vom 21. Oktober 2004</w:t>
      </w:r>
    </w:p>
    <w:p>
      <w:r>
        <w:t>SG Gerichte, 2004-10-21, DE</w:t>
      </w:r>
    </w:p>
    <w:p>
      <w:r>
        <w:rPr>
          <w:b/>
        </w:rPr>
        <w:t xml:space="preserve">Quelle: </w:t>
      </w:r>
      <w:r>
        <w:t>https://mcp.opencaselaw.ch/entscheid/sg_gerichte_I_2-2004_16</w:t>
      </w:r>
    </w:p>
    <w:p>
      <w:r>
        <w:t>FR: SG_GERICHTE I/2-2004/16 du 21 octobre 2004</w:t>
      </w:r>
    </w:p>
    <w:p>
      <w:r>
        <w:t>IT: SG_GERICHTE I/2-2004/16 del 21 ottobre 2004</w:t>
      </w:r>
    </w:p>
    <w:p>
      <w:pPr>
        <w:pStyle w:val="Heading2"/>
      </w:pPr>
      <w:r>
        <w:t>Regeste</w:t>
      </w:r>
    </w:p>
    <w:p>
      <w:r>
        <w:t>Art. 20 und 21 GSchVG: Bei der Bemessung der Nachbelastung des Kanalisationsanschlussbeitrages ist nur auf die Wertvermehrung abzustellen, die sich aus baulichen Veränderungen ergibt. Beruht die Neuwertdifferenz in erheblichem Ausmass auf der nachträglichen Korrektur eines offensichtlich zu tiefen Einheitspreises, so ist sie nicht massgebend für die Bemessung der Nachbelastung. (Verwaltungsrekurskommission, 21. Oktober 2004, I/2-2004/16)</w:t>
      </w:r>
    </w:p>
    <w:p>
      <w:pPr>
        <w:pStyle w:val="Heading2"/>
      </w:pPr>
      <w:r>
        <w:t>Volltext</w:t>
      </w:r>
    </w:p>
    <w:p>
      <w:r>
        <w:t>St.Gallen Verwaltungsrekurskommission 21.10.2004 I/2-2004/16 Saint-Gall Verwaltungsrekurskommission 21.10.2004 I/2-2004/16 San Gallo Verwaltungsrekurskommission 21.10.2004 I/2-2004/16</w:t>
      </w:r>
    </w:p>
    <w:p>
      <w:r>
        <w:t>Art. 20 und 21 GSchVG: Bei der Bemessung der Nachbelastung des Kanalisationsanschlussbeitrages ist nur auf die Wertvermehrung abzustellen, die sich aus baulichen Veränderungen ergibt. Beruht die Neuwertdifferenz in erheblichem Ausmass auf der nachträglichen Korrektur eines offensichtlich zu tiefen Einheitspreises, so ist sie nicht massgebend für die Bemessung der Nachbelastung. (Verwaltungsrekurskommission, 21. Oktober 2004, I/2-2004/16)</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