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I/1-2004/173 vom 25. Mai 2005</w:t>
      </w:r>
    </w:p>
    <w:p>
      <w:r>
        <w:t>SG Gerichte, 2005-05-25, DE</w:t>
      </w:r>
    </w:p>
    <w:p>
      <w:r>
        <w:rPr>
          <w:b/>
        </w:rPr>
        <w:t xml:space="preserve">Quelle: </w:t>
      </w:r>
      <w:r>
        <w:t>https://mcp.opencaselaw.ch/entscheid/sg_gerichte_I_1-2004_173</w:t>
      </w:r>
    </w:p>
    <w:p>
      <w:r>
        <w:t>FR: SG_GERICHTE I/1-2004/173 du 25 mai 2005</w:t>
      </w:r>
    </w:p>
    <w:p>
      <w:r>
        <w:t>IT: SG_GERICHTE I/1-2004/173 del 25 maggio 2005</w:t>
      </w:r>
    </w:p>
    <w:p>
      <w:pPr>
        <w:pStyle w:val="Heading2"/>
      </w:pPr>
      <w:r>
        <w:t>Regeste</w:t>
      </w:r>
    </w:p>
    <w:p>
      <w:r>
        <w:t>Art. 49 StG: Für den Kinderabzug gilt das Stichtagsprinzip. Eine Berücksichtigung pro rata temporis gibt es bei ganzjähriger Steuerpflicht nicht. Es besteht auch keine Möglichkeit, zwischen dem Kinderabzug oder dem Abzug von Unterhaltsbeiträgen zu wählen (Verwaltungsrekurskommission, I/1-2004/173, vom 25. Mai 2005).</w:t>
      </w:r>
    </w:p>
    <w:p>
      <w:pPr>
        <w:pStyle w:val="Heading2"/>
      </w:pPr>
      <w:r>
        <w:t>Volltext</w:t>
      </w:r>
    </w:p>
    <w:p>
      <w:r>
        <w:t>St.Gallen Verwaltungsrekurskommission 25.05.2005 I/1-2004/173 Saint-Gall Verwaltungsrekurskommission 25.05.2005 I/1-2004/173 San Gallo Verwaltungsrekurskommission 25.05.2005 I/1-2004/173</w:t>
      </w:r>
    </w:p>
    <w:p>
      <w:r>
        <w:t>Art. 49 StG: Für den Kinderabzug gilt das Stichtagsprinzip. Eine Berücksichtigung pro rata temporis gibt es bei ganzjähriger Steuerpflicht nicht. Es besteht auch keine Möglichkeit, zwischen dem Kinderabzug oder dem Abzug von Unterhaltsbeiträgen zu wählen (Verwaltungsrekurskommission, I/1-2004/173, vom 25. Mai 2005).</w:t>
      </w:r>
    </w:p>
    <w:p>
      <w:r>
        <w:t>St.Gallen Verwaltungsrekurskommission Saint-Gall Verwaltungsrekurskommission San Gallo Verwaltungsrekurskommission Abgaben und öffentliche Dienstpflichten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