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2021/84 vom 31. Dezember 2021</w:t>
      </w:r>
    </w:p>
    <w:p>
      <w:r>
        <w:t>SG Gerichte, 2021-12-31, DE</w:t>
      </w:r>
    </w:p>
    <w:p>
      <w:r>
        <w:rPr>
          <w:b/>
        </w:rPr>
        <w:t xml:space="preserve">Quelle: </w:t>
      </w:r>
      <w:r>
        <w:t>https://mcp.opencaselaw.ch/entscheid/sg_gerichte_IV_2021_84</w:t>
      </w:r>
    </w:p>
    <w:p>
      <w:r>
        <w:t>FR: SG_GERICHTE IV 2021/84 du 31 décembre 2021</w:t>
      </w:r>
    </w:p>
    <w:p>
      <w:r>
        <w:t>IT: SG_GERICHTE IV 2021/84 del 31 dicembre 2021</w:t>
      </w:r>
    </w:p>
    <w:p>
      <w:pPr>
        <w:pStyle w:val="Heading2"/>
      </w:pPr>
      <w:r>
        <w:t>Regeste</w:t>
      </w:r>
    </w:p>
    <w:p>
      <w:r>
        <w:t>aArt. 28 IVG und aArt. 17 ATSG (in der bis 31. Dezember 2021 gültigen Fassung) sowie Art. 77 und 88bis Abs. 2 lit. b IVV. Rückwirkende revisionsweise Aufhebung des Rentenanspruchs infolge Meldepflichtverletzung bestätigt (Entscheid des Versicherungsgerichts des Kantons St. Gallen vom 24. August 2022, IV 2021/84). Aufgehoben durch Urteil des Bundesgerichts 8C_586/2022.</w:t>
      </w:r>
    </w:p>
    <w:p>
      <w:pPr>
        <w:pStyle w:val="Heading2"/>
      </w:pPr>
      <w:r>
        <w:t>Volltext</w:t>
      </w:r>
    </w:p>
    <w:p>
      <w:r>
        <w:t>St.Gallen Versicherungsgericht 24.08.2022 IV 2021/84 Saint-Gall Versicherungsgericht 24.08.2022 IV 2021/84 San Gallo Versicherungsgericht 24.08.2022 IV 2021/84</w:t>
      </w:r>
    </w:p>
    <w:p>
      <w:r>
        <w:t>aArt. 28 IVG und aArt. 17 ATSG (in der bis 31. Dezember 2021 gültigen Fassung) sowie Art. 77 und 88bis Abs. 2 lit. b IVV. Rückwirkende revisionsweise Aufhebung des Rentenanspruchs infolge Meldepflichtverletzung bestätigt (Entscheid des Versicherungsgerichts des Kantons St. Gallen vom 24. August 2022, IV 2021/84). Aufgehoben durch Urteil des Bundesgerichts 8C_586/2022.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