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2017/393 vom 28. November 2018</w:t>
      </w:r>
    </w:p>
    <w:p>
      <w:r>
        <w:t>SG Gerichte, 2018-11-28, DE</w:t>
      </w:r>
    </w:p>
    <w:p>
      <w:r>
        <w:rPr>
          <w:b/>
        </w:rPr>
        <w:t xml:space="preserve">Quelle: </w:t>
      </w:r>
      <w:r>
        <w:t>https://mcp.opencaselaw.ch/entscheid/sg_gerichte_IV_2017_393</w:t>
      </w:r>
    </w:p>
    <w:p>
      <w:r>
        <w:t>FR: SG_GERICHTE IV 2017/393 du 28 novembre 2018</w:t>
      </w:r>
    </w:p>
    <w:p>
      <w:r>
        <w:t>IT: SG_GERICHTE IV 2017/393 del 28 novembre 2018</w:t>
      </w:r>
    </w:p>
    <w:p>
      <w:pPr>
        <w:pStyle w:val="Heading2"/>
      </w:pPr>
      <w:r>
        <w:t>Regeste</w:t>
      </w:r>
    </w:p>
    <w:p>
      <w:r>
        <w:t>Art. 16 ATSG. Verwertbarkeit der Restarbeitsfähigkeit bejaht für im massgeblichen Zeitpunkt 59 1/2 jährigen Beschwerdeführer, der in leichten bis und mit mittelschweren, rückenschonenden, vorwiegend sitzenden Tätigkeiten 100 % arbeitsfähig ist (Entscheid des Versicherungsgerichts des Kantons St. Gallen vom 28. November 2018, IV 2017/393). Bestätigt durch Urteil des Bundesgerichts 8C_77/2019.</w:t>
      </w:r>
    </w:p>
    <w:p>
      <w:pPr>
        <w:pStyle w:val="Heading2"/>
      </w:pPr>
      <w:r>
        <w:t>Volltext</w:t>
      </w:r>
    </w:p>
    <w:p>
      <w:r>
        <w:t>St.Gallen Versicherungsgericht 28.11.2018 IV 2017/393 Saint-Gall Versicherungsgericht 28.11.2018 IV 2017/393 San Gallo Versicherungsgericht 28.11.2018 IV 2017/393</w:t>
      </w:r>
    </w:p>
    <w:p>
      <w:r>
        <w:t>Art. 16 ATSG. Verwertbarkeit der Restarbeitsfähigkeit bejaht für im massgeblichen Zeitpunkt 59 1/2 jährigen Beschwerdeführer, der in leichten bis und mit mittelschweren, rückenschonenden, vorwiegend sitzenden Tätigkeiten 100 % arbeitsfähig ist (Entscheid des Versicherungsgerichts des Kantons St. Gallen vom 28. November 2018, IV 2017/393). Bestätigt durch Urteil des Bundesgerichts 8C_77/2019.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