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2015/429 vom 19. September 2016</w:t>
      </w:r>
    </w:p>
    <w:p>
      <w:r>
        <w:t>SG Gerichte, 2016-09-19, DE</w:t>
      </w:r>
    </w:p>
    <w:p>
      <w:r>
        <w:rPr>
          <w:b/>
        </w:rPr>
        <w:t xml:space="preserve">Quelle: </w:t>
      </w:r>
      <w:r>
        <w:t>https://mcp.opencaselaw.ch/entscheid/sg_gerichte_IV_2015_429</w:t>
      </w:r>
    </w:p>
    <w:p>
      <w:r>
        <w:t>FR: SG_GERICHTE IV 2015/429 du 19 septembre 2016</w:t>
      </w:r>
    </w:p>
    <w:p>
      <w:r>
        <w:t>IT: SG_GERICHTE IV 2015/429 del 19 settembre 2016</w:t>
      </w:r>
    </w:p>
    <w:p>
      <w:pPr>
        <w:pStyle w:val="Heading2"/>
      </w:pPr>
      <w:r>
        <w:t>Regeste</w:t>
      </w:r>
    </w:p>
    <w:p>
      <w:r>
        <w:t>Art. 25 ATSG; Art. 35 Abs. 1 IVG i.V.m. Art. 25 Abs. 5 AHVG; Art. 49 und Art. 49ter AHVV: Rückforderung Kinderrente. Fall einer Beschwerdeführerin in Ausbildung, die während des Praktikumsjahres erkrankte und deswegen ein Repetitionsjahr einschalten musste. Der Anspruch auf Kinderrente bestand während des Repetitionsjahres auch während der Praktikumsphase weiter, obwohl die Beschwerdeführerin nur einen Unterrichtstag hatte. Dies, weil die Repetition unumgänglich war und sie von der Schule zur schliesslich erfolglosen Suche einer Praktikumsstelle verpflichtet wurde. Der Unterbruch war somit unvermeidbar und die Kinderrente entsprechend ihrem Zweck weiterhin auszurichten (Entscheid des Versicherungsgerichts des Kantons St. Gallen vom 19. September 2016, IV 2015/429).</w:t>
      </w:r>
    </w:p>
    <w:p>
      <w:pPr>
        <w:pStyle w:val="Heading2"/>
      </w:pPr>
      <w:r>
        <w:t>Volltext</w:t>
      </w:r>
    </w:p>
    <w:p>
      <w:r>
        <w:t>St.Gallen Versicherungsgericht 19.09.2016 IV 2015/429 Saint-Gall Versicherungsgericht 19.09.2016 IV 2015/429 San Gallo Versicherungsgericht 19.09.2016 IV 2015/429</w:t>
      </w:r>
    </w:p>
    <w:p>
      <w:r>
        <w:t>Art. 25 ATSG; Art. 35 Abs. 1 IVG i.V.m. Art. 25 Abs. 5 AHVG; Art. 49 und Art. 49ter AHVV: Rückforderung Kinderrente. Fall einer Beschwerdeführerin in Ausbildung, die während des Praktikumsjahres erkrankte und deswegen ein Repetitionsjahr einschalten musste. Der Anspruch auf Kinderrente bestand während des Repetitionsjahres auch während der Praktikumsphase weiter, obwohl die Beschwerdeführerin nur einen Unterrichtstag hatte. Dies, weil die Repetition unumgänglich war und sie von der Schule zur schliesslich erfolglosen Suche einer Praktikumsstelle verpflichtet wurde. Der Unterbruch war somit unvermeidbar und die Kinderrente entsprechend ihrem Zweck weiterhin auszurichten (Entscheid des Versicherungsgerichts des Kantons St. Gallen vom 19. September 2016, IV 2015/429).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