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2015/277 vom 21. September 2016</w:t>
      </w:r>
    </w:p>
    <w:p>
      <w:r>
        <w:t>SG Gerichte, 2016-09-21, DE</w:t>
      </w:r>
    </w:p>
    <w:p>
      <w:r>
        <w:rPr>
          <w:b/>
        </w:rPr>
        <w:t xml:space="preserve">Quelle: </w:t>
      </w:r>
      <w:r>
        <w:t>https://mcp.opencaselaw.ch/entscheid/sg_gerichte_IV_2015_277</w:t>
      </w:r>
    </w:p>
    <w:p>
      <w:r>
        <w:t>FR: SG_GERICHTE IV 2015/277 du 21 septembre 2016</w:t>
      </w:r>
    </w:p>
    <w:p>
      <w:r>
        <w:t>IT: SG_GERICHTE IV 2015/277 del 21 settembre 2016</w:t>
      </w:r>
    </w:p>
    <w:p>
      <w:pPr>
        <w:pStyle w:val="Heading2"/>
      </w:pPr>
      <w:r>
        <w:t>Regeste</w:t>
      </w:r>
    </w:p>
    <w:p>
      <w:r>
        <w:t>Art. 21. Abs. 2 IVG, Art. 2 Abs. 1 HVI in Abgrenzung zu Art. 2 Abs. 2 HVI; Ziff. 10.05 HVI-Anhang Anspruch auf Hilfsmittel ohne Voraussetzung einer Erwerbstätigkeit, Beurteilung von Richtwerten im KHMI insbesondere bei der Kostengutsprache von Automatikgetrieben (Entscheid des Versicherungsgerichts des Kantons St. Gallen vom 21. September 2016, IV 2015/277).</w:t>
      </w:r>
    </w:p>
    <w:p>
      <w:pPr>
        <w:pStyle w:val="Heading2"/>
      </w:pPr>
      <w:r>
        <w:t>Volltext</w:t>
      </w:r>
    </w:p>
    <w:p>
      <w:r>
        <w:t>St.Gallen Versicherungsgericht 21.09.2016 IV 2015/277 Saint-Gall Versicherungsgericht 21.09.2016 IV 2015/277 San Gallo Versicherungsgericht 21.09.2016 IV 2015/277</w:t>
      </w:r>
    </w:p>
    <w:p>
      <w:r>
        <w:t>Art. 21. Abs. 2 IVG, Art. 2 Abs. 1 HVI in Abgrenzung zu Art. 2 Abs. 2 HVI; Ziff. 10.05 HVI-Anhang Anspruch auf Hilfsmittel ohne Voraussetzung einer Erwerbstätigkeit, Beurteilung von Richtwerten im KHMI insbesondere bei der Kostengutsprache von Automatikgetrieben (Entscheid des Versicherungsgerichts des Kantons St. Gallen vom 21. September 2016, IV 2015/277).</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