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2014/519 vom 4. Juni 2018</w:t>
      </w:r>
    </w:p>
    <w:p>
      <w:r>
        <w:t>SG Gerichte, 2018-06-04, DE</w:t>
      </w:r>
    </w:p>
    <w:p>
      <w:r>
        <w:rPr>
          <w:b/>
        </w:rPr>
        <w:t xml:space="preserve">Quelle: </w:t>
      </w:r>
      <w:r>
        <w:t>https://mcp.opencaselaw.ch/entscheid/sg_gerichte_IV_2014_519</w:t>
      </w:r>
    </w:p>
    <w:p>
      <w:r>
        <w:t>FR: SG_GERICHTE IV 2014/519 du 4 juin 2018</w:t>
      </w:r>
    </w:p>
    <w:p>
      <w:r>
        <w:t>IT: SG_GERICHTE IV 2014/519 del 4 giugno 2018</w:t>
      </w:r>
    </w:p>
    <w:p>
      <w:pPr>
        <w:pStyle w:val="Heading2"/>
      </w:pPr>
      <w:r>
        <w:t>Regeste</w:t>
      </w:r>
    </w:p>
    <w:p>
      <w:r>
        <w:t>Art. 28 IVG. Rentenanspruch. Würdigung psychiatrisches Gerichtsgutachten. Es besteht kein Grund, aus rechtlicher Sicht von der vom psychiatrischen Gerichtsgutachter aus objektiver Sicht bescheinigten nicht überwindbaren gesundheitlichen Beeinträchtigung hinsichtlich der Erwerbsunfähigkeit abzuweichen (Entscheid des Versicherungsgerichts des Kantons St. Gallen vom 4. Juni 2018, IV 2014/519). Bestätigt durch Urteil des Bundesgerichts 9C_501/2018.</w:t>
      </w:r>
    </w:p>
    <w:p>
      <w:pPr>
        <w:pStyle w:val="Heading2"/>
      </w:pPr>
      <w:r>
        <w:t>Volltext</w:t>
      </w:r>
    </w:p>
    <w:p>
      <w:r>
        <w:t>St.Gallen Versicherungsgericht 04.06.2018 IV 2014/519 Saint-Gall Versicherungsgericht 04.06.2018 IV 2014/519 San Gallo Versicherungsgericht 04.06.2018 IV 2014/519</w:t>
      </w:r>
    </w:p>
    <w:p>
      <w:r>
        <w:t>Art. 28 IVG. Rentenanspruch. Würdigung psychiatrisches Gerichtsgutachten. Es besteht kein Grund, aus rechtlicher Sicht von der vom psychiatrischen Gerichtsgutachter aus objektiver Sicht bescheinigten nicht überwindbaren gesundheitlichen Beeinträchtigung hinsichtlich der Erwerbsunfähigkeit abzuweichen (Entscheid des Versicherungsgerichts des Kantons St. Gallen vom 4. Juni 2018, IV 2014/519). Bestätigt durch Urteil des Bundesgerichts 9C_501/2018.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