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2014/5 vom 19. April 2016</w:t>
      </w:r>
    </w:p>
    <w:p>
      <w:r>
        <w:t>SG Gerichte, 2016-04-19, DE</w:t>
      </w:r>
    </w:p>
    <w:p>
      <w:r>
        <w:rPr>
          <w:b/>
        </w:rPr>
        <w:t xml:space="preserve">Quelle: </w:t>
      </w:r>
      <w:r>
        <w:t>https://mcp.opencaselaw.ch/entscheid/sg_gerichte_IV_2014_5</w:t>
      </w:r>
    </w:p>
    <w:p>
      <w:r>
        <w:t>FR: SG_GERICHTE IV 2014/5 du 19 avril 2016</w:t>
      </w:r>
    </w:p>
    <w:p>
      <w:r>
        <w:t>IT: SG_GERICHTE IV 2014/5 del 19 aprile 2016</w:t>
      </w:r>
    </w:p>
    <w:p>
      <w:pPr>
        <w:pStyle w:val="Heading2"/>
      </w:pPr>
      <w:r>
        <w:t>Regeste</w:t>
      </w:r>
    </w:p>
    <w:p>
      <w:r>
        <w:t>Art. 28 IVG und Art. 7 ATSG. Rentenprüfung nach Praxisänderung zu den somatoformen Schmerzstörungen (BGE 141 V 281). Aus einer leichten bis mittelschweren depressiven Episode resultiert eine Erwerbsunfähigkeit und daraus ein Anspruch auf eine Viertelsrente (Entscheid des Versicherungsgerichts des Kantons St. Gallen vom 19. April 2016, IV 2014/5).</w:t>
      </w:r>
    </w:p>
    <w:p>
      <w:pPr>
        <w:pStyle w:val="Heading2"/>
      </w:pPr>
      <w:r>
        <w:t>Volltext</w:t>
      </w:r>
    </w:p>
    <w:p>
      <w:r>
        <w:t>St.Gallen Versicherungsgericht 19.04.2016 IV 2014/5 Saint-Gall Versicherungsgericht 19.04.2016 IV 2014/5 San Gallo Versicherungsgericht 19.04.2016 IV 2014/5</w:t>
      </w:r>
    </w:p>
    <w:p>
      <w:r>
        <w:t>Art. 28 IVG und Art. 7 ATSG. Rentenprüfung nach Praxisänderung zu den somatoformen Schmerzstörungen (BGE 141 V 281). Aus einer leichten bis mittelschweren depressiven Episode resultiert eine Erwerbsunfähigkeit und daraus ein Anspruch auf eine Viertelsrente (Entscheid des Versicherungsgerichts des Kantons St. Gallen vom 19. April 2016, IV 2014/5).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