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2014/351 vom 5. Dezember 2016</w:t>
      </w:r>
    </w:p>
    <w:p>
      <w:r>
        <w:t>SG Gerichte, 2016-12-05, DE</w:t>
      </w:r>
    </w:p>
    <w:p>
      <w:r>
        <w:rPr>
          <w:b/>
        </w:rPr>
        <w:t xml:space="preserve">Quelle: </w:t>
      </w:r>
      <w:r>
        <w:t>https://mcp.opencaselaw.ch/entscheid/sg_gerichte_IV_2014_351</w:t>
      </w:r>
    </w:p>
    <w:p>
      <w:r>
        <w:t>FR: SG_GERICHTE IV 2014/351 du 5 décembre 2016</w:t>
      </w:r>
    </w:p>
    <w:p>
      <w:r>
        <w:t>IT: SG_GERICHTE IV 2014/351 del 5 dicembre 2016</w:t>
      </w:r>
    </w:p>
    <w:p>
      <w:pPr>
        <w:pStyle w:val="Heading2"/>
      </w:pPr>
      <w:r>
        <w:t>Regeste</w:t>
      </w:r>
    </w:p>
    <w:p>
      <w:r>
        <w:t>Art. 59 ATSG. Rechtsschutzinteresse an Überprüfung des Invaliditätsgrades bei parallel bestehendem Anspruch auf eine Witwenrente. Art. 28 IVG. Art. 16 ATSG. Invaliditätsbemessung. Prozentvergleich. Tabellenlohnabzug von 10% bejaht. Feststellung IV-Grad 55% statt 48% (Entscheid des Versicherungsgerichts des Kantons St. Gallen vom 5. Dezember 2016, IV 2014/351).</w:t>
      </w:r>
    </w:p>
    <w:p>
      <w:pPr>
        <w:pStyle w:val="Heading2"/>
      </w:pPr>
      <w:r>
        <w:t>Volltext</w:t>
      </w:r>
    </w:p>
    <w:p>
      <w:r>
        <w:t>St.Gallen Versicherungsgericht 05.12.2016 IV 2014/351 Saint-Gall Versicherungsgericht 05.12.2016 IV 2014/351 San Gallo Versicherungsgericht 05.12.2016 IV 2014/351</w:t>
      </w:r>
    </w:p>
    <w:p>
      <w:r>
        <w:t>Art. 59 ATSG. Rechtsschutzinteresse an Überprüfung des Invaliditätsgrades bei parallel bestehendem Anspruch auf eine Witwenrente. Art. 28 IVG. Art. 16 ATSG. Invaliditätsbemessung. Prozentvergleich. Tabellenlohnabzug von 10% bejaht. Feststellung IV-Grad 55% statt 48% (Entscheid des Versicherungsgerichts des Kantons St. Gallen vom 5. Dezember 2016, IV 2014/351).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