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2014/33 vom 17. März 2016</w:t>
      </w:r>
    </w:p>
    <w:p>
      <w:r>
        <w:t>SG Gerichte, 2016-03-17, DE</w:t>
      </w:r>
    </w:p>
    <w:p>
      <w:r>
        <w:rPr>
          <w:b/>
        </w:rPr>
        <w:t xml:space="preserve">Quelle: </w:t>
      </w:r>
      <w:r>
        <w:t>https://mcp.opencaselaw.ch/entscheid/sg_gerichte_IV_2014_33</w:t>
      </w:r>
    </w:p>
    <w:p>
      <w:r>
        <w:t>FR: SG_GERICHTE IV 2014/33 du 17 mars 2016</w:t>
      </w:r>
    </w:p>
    <w:p>
      <w:r>
        <w:t>IT: SG_GERICHTE IV 2014/33 del 17 marzo 2016</w:t>
      </w:r>
    </w:p>
    <w:p>
      <w:pPr>
        <w:pStyle w:val="Heading2"/>
      </w:pPr>
      <w:r>
        <w:t>Regeste</w:t>
      </w:r>
    </w:p>
    <w:p>
      <w:r>
        <w:t>Art. 28 IVG. Beweiswürdigung. Der Sachverhalt erweist sich aus medizinischer Sicht als genügend abgeklärt. Kein rentenbegründender IV-Grad des Beschwerdeführers, da er den gesundheitsbedingten Erwerbsausfall durch seine Nebenerwerbstätigkeit weitgehend zu kompensieren vermag (Entscheid des Versicherungsgerichts des Kantons St. Gallen vom 17. März 2016, IV 2014/33).</w:t>
      </w:r>
    </w:p>
    <w:p>
      <w:pPr>
        <w:pStyle w:val="Heading2"/>
      </w:pPr>
      <w:r>
        <w:t>Volltext</w:t>
      </w:r>
    </w:p>
    <w:p>
      <w:r>
        <w:t>St.Gallen Versicherungsgericht 17.03.2016 IV 2014/33 Saint-Gall Versicherungsgericht 17.03.2016 IV 2014/33 San Gallo Versicherungsgericht 17.03.2016 IV 2014/33</w:t>
      </w:r>
    </w:p>
    <w:p>
      <w:r>
        <w:t>Art. 28 IVG. Beweiswürdigung. Der Sachverhalt erweist sich aus medizinischer Sicht als genügend abgeklärt. Kein rentenbegründender IV-Grad des Beschwerdeführers, da er den gesundheitsbedingten Erwerbsausfall durch seine Nebenerwerbstätigkeit weitgehend zu kompensieren vermag (Entscheid des Versicherungsgerichts des Kantons St. Gallen vom 17. März 2016, IV 2014/33).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