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2014/301 vom 26. Februar 2016</w:t>
      </w:r>
    </w:p>
    <w:p>
      <w:r>
        <w:t>SG Gerichte, 2016-02-26, DE</w:t>
      </w:r>
    </w:p>
    <w:p>
      <w:r>
        <w:rPr>
          <w:b/>
        </w:rPr>
        <w:t xml:space="preserve">Quelle: </w:t>
      </w:r>
      <w:r>
        <w:t>https://mcp.opencaselaw.ch/entscheid/sg_gerichte_IV_2014_301</w:t>
      </w:r>
    </w:p>
    <w:p>
      <w:r>
        <w:t>FR: SG_GERICHTE IV 2014/301 du 26 février 2016</w:t>
      </w:r>
    </w:p>
    <w:p>
      <w:r>
        <w:t>IT: SG_GERICHTE IV 2014/301 del 26 febbraio 2016</w:t>
      </w:r>
    </w:p>
    <w:p>
      <w:pPr>
        <w:pStyle w:val="Heading2"/>
      </w:pPr>
      <w:r>
        <w:t>Regeste</w:t>
      </w:r>
    </w:p>
    <w:p>
      <w:r>
        <w:t>Art. 42ter Abs. 3 IVG, Art. 39 Abs. 3 IVV. Intensivpflegezuschlag für Minderjährige. Abgrenzung zwischen der durch eine Zeitpauschale erfassten dauernden Überwachung und der indirekten Hilfe bei den alltäglichen Lebensverrichtungen, die nach ihrem effektiven Zeitaufwand zu erfassen ist (Entscheid des Versicherungsgerichts des Kantons St. Gallen vom 26. Februar 2016, IV 2014/301).</w:t>
      </w:r>
    </w:p>
    <w:p>
      <w:pPr>
        <w:pStyle w:val="Heading2"/>
      </w:pPr>
      <w:r>
        <w:t>Volltext</w:t>
      </w:r>
    </w:p>
    <w:p>
      <w:r>
        <w:t>St.Gallen Versicherungsgericht 26.02.2016 IV 2014/301 Saint-Gall Versicherungsgericht 26.02.2016 IV 2014/301 San Gallo Versicherungsgericht 26.02.2016 IV 2014/301</w:t>
      </w:r>
    </w:p>
    <w:p>
      <w:r>
        <w:t>Art. 42ter Abs. 3 IVG, Art. 39 Abs. 3 IVV. Intensivpflegezuschlag für Minderjährige.</w:t>
      </w:r>
    </w:p>
    <w:p>
      <w:r>
        <w:t>Abgrenzung zwischen der durch eine Zeitpauschale erfassten dauernden Überwachung und der indirekten Hilfe bei den alltäglichen Lebensverrichtungen, die nach ihrem effektiven Zeitaufwand zu erfassen ist (Entscheid des Versicherungsgerichts des Kantons St. Gallen vom 26. Februar 2016, IV 2014/301).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