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2013/296 vom 2. März 2016</w:t>
      </w:r>
    </w:p>
    <w:p>
      <w:r>
        <w:t>SG Gerichte, 2016-03-02, DE</w:t>
      </w:r>
    </w:p>
    <w:p>
      <w:r>
        <w:rPr>
          <w:b/>
        </w:rPr>
        <w:t xml:space="preserve">Quelle: </w:t>
      </w:r>
      <w:r>
        <w:t>https://mcp.opencaselaw.ch/entscheid/sg_gerichte_IV_2013_296</w:t>
      </w:r>
    </w:p>
    <w:p>
      <w:r>
        <w:t>FR: SG_GERICHTE IV 2013/296 du 2 mars 2016</w:t>
      </w:r>
    </w:p>
    <w:p>
      <w:r>
        <w:t>IT: SG_GERICHTE IV 2013/296 del 2 marzo 2016</w:t>
      </w:r>
    </w:p>
    <w:p>
      <w:pPr>
        <w:pStyle w:val="Heading2"/>
      </w:pPr>
      <w:r>
        <w:t>Regeste</w:t>
      </w:r>
    </w:p>
    <w:p>
      <w:r>
        <w:t>Art. 42 IVG und Art. 17 ATSG; Art. 37 f. IVV. Anpassung einer Hilflosenentschädigung nach Rückweisung (Erwägungen zu den Bereichen An- und Auskleiden, lebenspraktische Begleitung, Körperpflege). Vorrang von Sachleistungen (geeignete Hilfsmittel).(Entscheid des Versicherungsgerichts des Kantons St. Gallen vom 2. März 2016, IV 2013/296).</w:t>
      </w:r>
    </w:p>
    <w:p>
      <w:pPr>
        <w:pStyle w:val="Heading2"/>
      </w:pPr>
      <w:r>
        <w:t>Volltext</w:t>
      </w:r>
    </w:p>
    <w:p>
      <w:r>
        <w:t>St.Gallen Versicherungsgericht 02.03.2016 IV 2013/296 Saint-Gall Versicherungsgericht 02.03.2016 IV 2013/296 San Gallo Versicherungsgericht 02.03.2016 IV 2013/296</w:t>
      </w:r>
    </w:p>
    <w:p>
      <w:r>
        <w:t>Art. 42 IVG und Art. 17 ATSG; Art. 37 f. IVV. Anpassung einer Hilflosenentschädigung nach Rückweisung (Erwägungen zu den Bereichen An- und Auskleiden, lebenspraktische Begleitung, Körperpflege). Vorrang von Sachleistungen (geeignete Hilfsmittel).(Entscheid des Versicherungsgerichts des Kantons St. Gallen vom 2. März 2016, IV 2013/296).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