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2013/259 vom 6. September 2016</w:t>
      </w:r>
    </w:p>
    <w:p>
      <w:r>
        <w:t>SG Gerichte, 2016-09-06, DE</w:t>
      </w:r>
    </w:p>
    <w:p>
      <w:r>
        <w:rPr>
          <w:b/>
        </w:rPr>
        <w:t xml:space="preserve">Quelle: </w:t>
      </w:r>
      <w:r>
        <w:t>https://mcp.opencaselaw.ch/entscheid/sg_gerichte_IV_2013_259</w:t>
      </w:r>
    </w:p>
    <w:p>
      <w:r>
        <w:t>FR: SG_GERICHTE IV 2013/259 du 6 septembre 2016</w:t>
      </w:r>
    </w:p>
    <w:p>
      <w:r>
        <w:t>IT: SG_GERICHTE IV 2013/259 del 6 settembre 2016</w:t>
      </w:r>
    </w:p>
    <w:p>
      <w:pPr>
        <w:pStyle w:val="Heading2"/>
      </w:pPr>
      <w:r>
        <w:t>Regeste</w:t>
      </w:r>
    </w:p>
    <w:p>
      <w:r>
        <w:t>Art. 28 IVG. Rentenanspruch. Würdigung Gutachten und auf eigener Untersuchung beruhender RAD-Bericht. Kosten des Gerichtsgutachtens sind vollumfänglich von der IV-Stelle zu tragen (Entscheid des Versicherungsgerichts des Kantons St. Gallen vom 6. September 2016, IV 2013/259). Abgesehen vom Umfang der Auferlegung der Kosten des Gerichtsgutachtens zulasten die IV-Stelle bestätigt durch Urteil des Bundesgerichts 9C_672/2016 und 9C_685/2016.</w:t>
      </w:r>
    </w:p>
    <w:p>
      <w:pPr>
        <w:pStyle w:val="Heading2"/>
      </w:pPr>
      <w:r>
        <w:t>Volltext</w:t>
      </w:r>
    </w:p>
    <w:p>
      <w:r>
        <w:t>St.Gallen Versicherungsgericht 06.09.2016 IV 2013/259 Saint-Gall Versicherungsgericht 06.09.2016 IV 2013/259 San Gallo Versicherungsgericht 06.09.2016 IV 2013/259</w:t>
      </w:r>
    </w:p>
    <w:p>
      <w:r>
        <w:t>Art. 28 IVG. Rentenanspruch. Würdigung Gutachten und auf eigener Untersuchung beruhender RAD-Bericht. Kosten des Gerichtsgutachtens sind vollumfänglich von der IV-Stelle zu tragen (Entscheid des Versicherungsgerichts des Kantons St. Gallen vom 6. September 2016, IV 2013/259). Abgesehen vom Umfang der Auferlegung der Kosten des Gerichtsgutachtens zulasten die IV-Stelle bestätigt durch Urteil des Bundesgerichts 9C_672/2016 und 9C_685/2016.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