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2012/240 vom 18. März 2011</w:t>
      </w:r>
    </w:p>
    <w:p>
      <w:r>
        <w:t>SG Gerichte, 2011-03-18, DE</w:t>
      </w:r>
    </w:p>
    <w:p>
      <w:r>
        <w:rPr>
          <w:b/>
        </w:rPr>
        <w:t xml:space="preserve">Quelle: </w:t>
      </w:r>
      <w:r>
        <w:t>https://mcp.opencaselaw.ch/entscheid/sg_gerichte_IV_2012_240</w:t>
      </w:r>
    </w:p>
    <w:p>
      <w:r>
        <w:t>FR: SG_GERICHTE IV 2012/240 du 18 mars 2011</w:t>
      </w:r>
    </w:p>
    <w:p>
      <w:r>
        <w:t>IT: SG_GERICHTE IV 2012/240 del 18 marzo 2011</w:t>
      </w:r>
    </w:p>
    <w:p>
      <w:pPr>
        <w:pStyle w:val="Heading2"/>
      </w:pPr>
      <w:r>
        <w:t>Regeste</w:t>
      </w:r>
    </w:p>
    <w:p>
      <w:r>
        <w:t>Strittig ist eine Einstellung eines Anspruchs auf eine ganze Rente (bei einem Invaliditätsgrad von 41 %) für die Zukunft, begründet mit einer Verbesserung des Gesundheitszustands (Invaliditätsgrad neu 11 %) und mit einer Überprüfung gestützt auf die Schlussbestimmung der Änderung des IVG vom 18. März 2011. Anpassungsweise Einstellung (Entscheid des Versicherungsgerichts des Kantons St. Gallen vom 10. Juli 2013, IV 2012/240).</w:t>
      </w:r>
    </w:p>
    <w:p>
      <w:pPr>
        <w:pStyle w:val="Heading2"/>
      </w:pPr>
      <w:r>
        <w:t>Volltext</w:t>
      </w:r>
    </w:p>
    <w:p>
      <w:r>
        <w:t>St.Gallen Versicherungsgericht 10.07.2013 IV 2012/240 Saint-Gall Versicherungsgericht 10.07.2013 IV 2012/240 San Gallo Versicherungsgericht 10.07.2013 IV 2012/240</w:t>
      </w:r>
    </w:p>
    <w:p>
      <w:r>
        <w:t>Strittig ist eine Einstellung eines Anspruchs auf eine ganze Rente (bei einem Invaliditätsgrad von 41 %) für die Zukunft, begründet mit einer Verbesserung des Gesundheitszustands (Invaliditätsgrad neu 11 %) und mit einer Überprüfung gestützt auf die Schlussbestimmung der Änderung des IVG vom 18. März 2011. Anpassungsweise Einstellung (Entscheid des Versicherungsgerichts des Kantons St. Gallen vom 10. Juli 2013, IV 2012/240).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