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2009/303 vom 31. Dezember 2007</w:t>
      </w:r>
    </w:p>
    <w:p>
      <w:r>
        <w:t>SG Gerichte, 2007-12-31, DE</w:t>
      </w:r>
    </w:p>
    <w:p>
      <w:r>
        <w:rPr>
          <w:b/>
        </w:rPr>
        <w:t xml:space="preserve">Quelle: </w:t>
      </w:r>
      <w:r>
        <w:t>https://mcp.opencaselaw.ch/entscheid/sg_gerichte_IV_2009_303</w:t>
      </w:r>
    </w:p>
    <w:p>
      <w:r>
        <w:t>FR: SG_GERICHTE IV 2009/303 du 31 décembre 2007</w:t>
      </w:r>
    </w:p>
    <w:p>
      <w:r>
        <w:t>IT: SG_GERICHTE IV 2009/303 del 31 dicembre 2007</w:t>
      </w:r>
    </w:p>
    <w:p>
      <w:pPr>
        <w:pStyle w:val="Heading2"/>
      </w:pPr>
      <w:r>
        <w:t>Regeste</w:t>
      </w:r>
    </w:p>
    <w:p>
      <w:r>
        <w:t>altArt. 28 IVG (in der bis 31. Dezember 2007 gültigen Fassung). Gutachten zur Arbeitsfähigkeit in adaptierter Tätigkeit beweistauglich. Vorliegend wäre auf Grund des fortgeschrittenen Alters, der langen Selbständigkeit und der Einschränkungen durch die rechte Schulter ein Leidensabzug von 15% angemessen. Dennoch ist ein Rentenanspruch zu verneinen (Entscheid des Versicherungsgerichts des Kantons St. Gallen vom 26. Juli 2011, IV 2009/303).</w:t>
      </w:r>
    </w:p>
    <w:p>
      <w:pPr>
        <w:pStyle w:val="Heading2"/>
      </w:pPr>
      <w:r>
        <w:t>Volltext</w:t>
      </w:r>
    </w:p>
    <w:p>
      <w:r>
        <w:t>St.Gallen Versicherungsgericht 26.07.2011 IV 2009/303 Saint-Gall Versicherungsgericht 26.07.2011 IV 2009/303 San Gallo Versicherungsgericht 26.07.2011 IV 2009/303</w:t>
      </w:r>
    </w:p>
    <w:p>
      <w:r>
        <w:t>altArt. 28 IVG (in der bis 31. Dezember 2007 gültigen Fassung). Gutachten zur Arbeitsfähigkeit in adaptierter Tätigkeit beweistauglich. Vorliegend wäre auf Grund des fortgeschrittenen Alters, der langen Selbständigkeit und der Einschränkungen durch die rechte Schulter ein Leidensabzug von 15% angemessen. Dennoch ist ein Rentenanspruch zu verneinen (Entscheid des Versicherungsgerichts des Kantons St. Gallen vom 26. Juli 2011, IV 2009/303).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