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2008/255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https://mcp.opencaselaw.ch/entscheid/sg_gerichte_IV_2008_255</w:t>
      </w:r>
    </w:p>
    <w:p>
      <w:r>
        <w:t>FR: SG_GERICHTE IV 2008/255 du 31 décembre 2007</w:t>
      </w:r>
    </w:p>
    <w:p>
      <w:r>
        <w:t>IT: SG_GERICHTE IV 2008/255 del 31 dicembre 2007</w:t>
      </w:r>
    </w:p>
    <w:p>
      <w:pPr>
        <w:pStyle w:val="Heading2"/>
      </w:pPr>
      <w:r>
        <w:t>Regeste</w:t>
      </w:r>
    </w:p>
    <w:p>
      <w:r>
        <w:t>Art. 12 IVG (in der bis 31. Dezember 2007 geltenden Fassung): Anspruch auf medizinische Massnahmen. Kostenübernahme einer operativen Hüftgelenksversorgung (Hüftprothese); Dauerhaftigkeit und Wesentlichkeit des Eingliederungserfolgs konnte aufgrund der medizinischen Aktenlage nicht beurteilt werden; Rückweisung zur Durchführung weiterer Abklärungen (Entscheid des Versicherungsgerichts des Kantons St. Gallen vom 13. November 2009, IV 2008/255).</w:t>
      </w:r>
    </w:p>
    <w:p>
      <w:pPr>
        <w:pStyle w:val="Heading2"/>
      </w:pPr>
      <w:r>
        <w:t>Volltext</w:t>
      </w:r>
    </w:p>
    <w:p>
      <w:r>
        <w:t>St.Gallen Versicherungsgericht 13.11.2009 IV 2008/255 Saint-Gall Versicherungsgericht 13.11.2009 IV 2008/255 San Gallo Versicherungsgericht 13.11.2009 IV 2008/255</w:t>
      </w:r>
    </w:p>
    <w:p>
      <w:r>
        <w:t>Art. 12 IVG (in der bis 31. Dezember 2007 geltenden Fassung): Anspruch auf medizinische Massnahmen. Kostenübernahme einer operativen Hüftgelenksversorgung (Hüftprothese); Dauerhaftigkeit und Wesentlichkeit des Eingliederungserfolgs konnte aufgrund der medizinischen Aktenlage nicht beurteilt werden; Rückweisung zur Durchführung weiterer Abklärungen (Entscheid des Versicherungsgerichts des Kantons St. Gallen vom 13. November 2009, IV 2008/255).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