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2008/175 vom 31. Dezember 2007</w:t>
      </w:r>
    </w:p>
    <w:p>
      <w:r>
        <w:t>SG Gerichte, 2007-12-31, DE</w:t>
      </w:r>
    </w:p>
    <w:p>
      <w:r>
        <w:rPr>
          <w:b/>
        </w:rPr>
        <w:t xml:space="preserve">Quelle: </w:t>
      </w:r>
      <w:r>
        <w:t>https://mcp.opencaselaw.ch/entscheid/sg_gerichte_IV_2008_175</w:t>
      </w:r>
    </w:p>
    <w:p>
      <w:r>
        <w:t>FR: SG_GERICHTE IV 2008/175 du 31 décembre 2007</w:t>
      </w:r>
    </w:p>
    <w:p>
      <w:r>
        <w:t>IT: SG_GERICHTE IV 2008/175 del 31 dicembre 2007</w:t>
      </w:r>
    </w:p>
    <w:p>
      <w:pPr>
        <w:pStyle w:val="Heading2"/>
      </w:pPr>
      <w:r>
        <w:t>Regeste</w:t>
      </w:r>
    </w:p>
    <w:p>
      <w:r>
        <w:t>Art. 28 Abs. 2 IVG (Fassung bis 31. Dezember 2007). Invaliditätsbemessung und Rentenanspruch. Infragestellung der angewendeten gemischten Methode. Anwendung Einkommensvergleich wegen hypothetischem Vollpensum (Entscheid des Versicherungsgerichts des Kantons St. Gallen vom 9. November 2009, IV 2008/175).</w:t>
      </w:r>
    </w:p>
    <w:p>
      <w:pPr>
        <w:pStyle w:val="Heading2"/>
      </w:pPr>
      <w:r>
        <w:t>Volltext</w:t>
      </w:r>
    </w:p>
    <w:p>
      <w:r>
        <w:t>St.Gallen Versicherungsgericht 09.11.2009 IV 2008/175 Saint-Gall Versicherungsgericht 09.11.2009 IV 2008/175 San Gallo Versicherungsgericht 09.11.2009 IV 2008/175</w:t>
      </w:r>
    </w:p>
    <w:p>
      <w:r>
        <w:t>Art. 28 Abs. 2 IVG (Fassung bis 31. Dezember 2007). Invaliditätsbemessung und Rentenanspruch. Infragestellung der angewendeten gemischten Methode. Anwendung Einkommensvergleich wegen hypothetischem Vollpensum (Entscheid des Versicherungsgerichts des Kantons St. Gallen vom 9. November 2009, IV 2008/175).</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