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2007/46 vom 1. Juni 2007</w:t>
      </w:r>
    </w:p>
    <w:p>
      <w:r>
        <w:t>SG Gerichte, 2007-06-01, DE</w:t>
      </w:r>
    </w:p>
    <w:p>
      <w:r>
        <w:rPr>
          <w:b/>
        </w:rPr>
        <w:t xml:space="preserve">Quelle: </w:t>
      </w:r>
      <w:r>
        <w:t>https://mcp.opencaselaw.ch/entscheid/sg_gerichte_IV_2007_46</w:t>
      </w:r>
    </w:p>
    <w:p>
      <w:r>
        <w:t>FR: SG_GERICHTE IV 2007/46 du 1 juin 2007</w:t>
      </w:r>
    </w:p>
    <w:p>
      <w:r>
        <w:t>IT: SG_GERICHTE IV 2007/46 del 1 giugno 2007</w:t>
      </w:r>
    </w:p>
    <w:p>
      <w:pPr>
        <w:pStyle w:val="Heading2"/>
      </w:pPr>
      <w:r>
        <w:t>Regeste</w:t>
      </w:r>
    </w:p>
    <w:p>
      <w:r>
        <w:t>Art. 50 Abs. 2 IVG; Art. 22 Abs. 2 ATSG und Art. 85bis IVV; Fall einer zu 48 % invaliden IV-Rentnerin, die im vollzeitlich ausgeübten Resterwerb erkrankt bzw. sich medizinischen IV-Eingliederungsmassnahmen unterziehen muss. Sie erhält in zwei Tranchen Ersatz des Lohnausfalles, einmal ein IV-Taggeld, das andere Mal ein VVG-Taggeld der Krankenkasse. Beide Taggelder haben nicht das Valideneinkommen der IV-Rente als Basis, sondern den Lohn aus Resterwerb. Eine IV-Rentennachzahlung kann in solchen besonderen Verhältnissen weder mit einer Rückforderung von IV-Taggeldern noch zugunsten einer Rückerstattung von VVG-Taggeldern verrechnet werden. Es fehlt an der Kongruenz der Leistungen und überhaupt an einer Überentschädigung, und die VVG-Leistungen sind nicht als Vorschussleistungen auf eine IV-Rente erbracht worden (Entscheid des Versicherungsgerichts des Kantons St. Gallen vom 1. Juni 2007, IV 2007/46).</w:t>
      </w:r>
    </w:p>
    <w:p>
      <w:pPr>
        <w:pStyle w:val="Heading2"/>
      </w:pPr>
      <w:r>
        <w:t>Volltext</w:t>
      </w:r>
    </w:p>
    <w:p>
      <w:r>
        <w:t>St.Gallen Versicherungsgericht 01.06.2007 IV 2007/46 Saint-Gall Versicherungsgericht 01.06.2007 IV 2007/46 San Gallo Versicherungsgericht 01.06.2007 IV 2007/46</w:t>
      </w:r>
    </w:p>
    <w:p>
      <w:r>
        <w:t>Art. 50 Abs. 2 IVG; Art. 22 Abs. 2 ATSG und Art. 85bis IVV; Fall einer zu 48 % invaliden IV-Rentnerin, die im vollzeitlich ausgeübten Resterwerb erkrankt bzw. sich medizinischen IV-Eingliederungsmassnahmen unterziehen muss. Sie erhält in zwei Tranchen Ersatz des Lohnausfalles, einmal ein IV-Taggeld, das andere Mal ein VVG-Taggeld der Krankenkasse. Beide Taggelder haben nicht das Valideneinkommen der IV-Rente als Basis, sondern den Lohn aus Resterwerb. Eine IV-Rentennachzahlung kann in solchen besonderen Verhältnissen weder mit einer Rückforderung von IV-Taggeldern noch zugunsten einer Rückerstattung von VVG-Taggeldern verrechnet werden. Es fehlt an der Kongruenz der Leistungen und überhaupt an einer Überentschädigung, und die VVG-Leistungen sind nicht als Vorschussleistungen auf eine IV-Rente erbracht worden (Entscheid des Versicherungsgerichts des Kantons St. Gallen vom 1. Juni 2007, IV 2007/46).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