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2007/331 vom 2. November 2007</w:t>
      </w:r>
    </w:p>
    <w:p>
      <w:r>
        <w:t>SG Gerichte, 2007-11-02, DE</w:t>
      </w:r>
    </w:p>
    <w:p>
      <w:r>
        <w:rPr>
          <w:b/>
        </w:rPr>
        <w:t xml:space="preserve">Quelle: </w:t>
      </w:r>
      <w:r>
        <w:t>https://mcp.opencaselaw.ch/entscheid/sg_gerichte_IV_2007_331</w:t>
      </w:r>
    </w:p>
    <w:p>
      <w:r>
        <w:t>FR: SG_GERICHTE IV 2007/331 du 2 novembre 2007</w:t>
      </w:r>
    </w:p>
    <w:p>
      <w:r>
        <w:t>IT: SG_GERICHTE IV 2007/331 del 2 novembre 2007</w:t>
      </w:r>
    </w:p>
    <w:p>
      <w:pPr>
        <w:pStyle w:val="Heading2"/>
      </w:pPr>
      <w:r>
        <w:t>Regeste</w:t>
      </w:r>
    </w:p>
    <w:p>
      <w:r>
        <w:t>Art. 16 ATSG. Einkommensvergleich zur Ermittlung der rentenspezifischen Invalidität Entgegen der vom Bundesgericht im Urteil vom 2. November 2007 (I 69/07) vertretenen Auffassung ist aus Gleichbehandlungsgründen auch bei jenen Erwerbstätigen ein "Teilzeitnachteil" zu berücksichtigen, die vollzeitlich, aber mit reduzierter Leistung arbeiten (Entscheid des Versicherungsgerichts des Kantons St. Gallen vom 6. Januar 2009, IV 2007/331).</w:t>
      </w:r>
    </w:p>
    <w:p>
      <w:pPr>
        <w:pStyle w:val="Heading2"/>
      </w:pPr>
      <w:r>
        <w:t>Volltext</w:t>
      </w:r>
    </w:p>
    <w:p>
      <w:r>
        <w:t>St.Gallen Versicherungsgericht 06.01.2009 IV 2007/331 Saint-Gall Versicherungsgericht 06.01.2009 IV 2007/331 San Gallo Versicherungsgericht 06.01.2009 IV 2007/331</w:t>
      </w:r>
    </w:p>
    <w:p>
      <w:r>
        <w:t>Art. 16 ATSG. Einkommensvergleich zur Ermittlung der rentenspezifischen Invalidität Entgegen der vom Bundesgericht im Urteil vom 2. November 2007 (I 69/07) vertretenen Auffassung ist aus Gleichbehandlungsgründen auch bei jenen Erwerbstätigen ein "Teilzeitnachteil" zu berücksichtigen, die vollzeitlich, aber mit reduzierter Leistung arbeiten (Entscheid des Versicherungsgerichts des Kantons St. Gallen vom 6. Januar 2009, IV 2007/331).</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