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2007/231 vom 31. Dezember 2007</w:t>
      </w:r>
    </w:p>
    <w:p>
      <w:r>
        <w:t>SG Gerichte, 2007-12-31, DE</w:t>
      </w:r>
    </w:p>
    <w:p>
      <w:r>
        <w:rPr>
          <w:b/>
        </w:rPr>
        <w:t xml:space="preserve">Quelle: </w:t>
      </w:r>
      <w:r>
        <w:t>https://mcp.opencaselaw.ch/entscheid/sg_gerichte_IV_2007_231</w:t>
      </w:r>
    </w:p>
    <w:p>
      <w:r>
        <w:t>FR: SG_GERICHTE IV 2007/231 du 31 décembre 2007</w:t>
      </w:r>
    </w:p>
    <w:p>
      <w:r>
        <w:t>IT: SG_GERICHTE IV 2007/231 del 31 dicembre 2007</w:t>
      </w:r>
    </w:p>
    <w:p>
      <w:pPr>
        <w:pStyle w:val="Heading2"/>
      </w:pPr>
      <w:r>
        <w:t>Regeste</w:t>
      </w:r>
    </w:p>
    <w:p>
      <w:r>
        <w:t>Art. 28 und 29 IVG (in der bis 31. Dezember 2007 gültigen Fassung); Eintritt der Arbeitsunfähigkeit; Beginn des Wartejahres; Höhe des Rentenbetrages. Eine erst nach Jahren rückwirkend festgelegte medizinisch-theoretische Arbeitsunfähigkeit, ohne dass der (frühere) Arbeitgeber die Leistungseinbusse bemerkt hätte, genügt für sich allein nicht zur Annahme einer relevanten Arbeitsunfähigkeit. Vielmehr ist hierfür auf echtzeitliche medizinische Einschätzungen abzustellen (Entscheid des Versicherungsgerichts des Kantons St. Gallen vom 19. Februar 2009, IV 2007/231).</w:t>
      </w:r>
    </w:p>
    <w:p>
      <w:pPr>
        <w:pStyle w:val="Heading2"/>
      </w:pPr>
      <w:r>
        <w:t>Volltext</w:t>
      </w:r>
    </w:p>
    <w:p>
      <w:r>
        <w:t>St.Gallen Versicherungsgericht 19.02.2009 IV 2007/231 Saint-Gall Versicherungsgericht 19.02.2009 IV 2007/231 San Gallo Versicherungsgericht 19.02.2009 IV 2007/231</w:t>
      </w:r>
    </w:p>
    <w:p>
      <w:r>
        <w:t>Art. 28 und 29 IVG (in der bis 31. Dezember 2007 gültigen Fassung); Eintritt der Arbeitsunfähigkeit; Beginn des Wartejahres; Höhe des Rentenbetrages. Eine erst nach Jahren rückwirkend festgelegte medizinisch-theoretische Arbeitsunfähigkeit, ohne dass der (frühere) Arbeitgeber die Leistungseinbusse bemerkt hätte, genügt für sich allein nicht zur Annahme einer relevanten Arbeitsunfähigkeit. Vielmehr ist hierfür auf echtzeitliche medizinische Einschätzungen abzustellen (Entscheid des Versicherungsgerichts des Kantons St. Gallen vom 19. Februar 2009, IV 2007/231).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