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2006/203 vom 1. Januar 2004</w:t>
      </w:r>
    </w:p>
    <w:p>
      <w:r>
        <w:t>SG Gerichte, 2004-01-01, DE</w:t>
      </w:r>
    </w:p>
    <w:p>
      <w:r>
        <w:rPr>
          <w:b/>
        </w:rPr>
        <w:t xml:space="preserve">Quelle: </w:t>
      </w:r>
      <w:r>
        <w:t>https://mcp.opencaselaw.ch/entscheid/sg_gerichte_IV_2006_203</w:t>
      </w:r>
    </w:p>
    <w:p>
      <w:r>
        <w:t>FR: SG_GERICHTE IV 2006/203 du 1 janvier 2004</w:t>
      </w:r>
    </w:p>
    <w:p>
      <w:r>
        <w:t>IT: SG_GERICHTE IV 2006/203 del 1 gennaio 2004</w:t>
      </w:r>
    </w:p>
    <w:p>
      <w:pPr>
        <w:pStyle w:val="Heading2"/>
      </w:pPr>
      <w:r>
        <w:t>Regeste</w:t>
      </w:r>
    </w:p>
    <w:p>
      <w:r>
        <w:t>Aufgrund der mit der 4. IV-Revision geänderten Rechtslage ist eine ganze auf eine Dreiviertelsrente herabzusetzen, obwohl der Invaliditätsgrad der versicherten Person gleich geblieben ist. Da die versicherte Person bei Inkrafttreten der 4. IV-Revision am 1. Januar 2004 das 50. Altersjahr noch nicht vollendet hatte, kommt sie nicht in den Genuss der Bestandesgarantie gemäss lit. f SchlBest. (Entscheid des Versicherungsgerichts des Kantons St. Gallen vom 12. Februar 2008, IV 2006/203).</w:t>
      </w:r>
    </w:p>
    <w:p>
      <w:pPr>
        <w:pStyle w:val="Heading2"/>
      </w:pPr>
      <w:r>
        <w:t>Volltext</w:t>
      </w:r>
    </w:p>
    <w:p>
      <w:r>
        <w:t>St.Gallen Versicherungsgericht 12.02.2008 IV 2006/203 Saint-Gall Versicherungsgericht 12.02.2008 IV 2006/203 San Gallo Versicherungsgericht 12.02.2008 IV 2006/203</w:t>
      </w:r>
    </w:p>
    <w:p>
      <w:r>
        <w:t>Aufgrund der mit der 4. IV-Revision geänderten Rechtslage ist eine ganze auf eine Dreiviertelsrente herabzusetzen, obwohl der Invaliditätsgrad der versicherten Person gleich geblieben ist. Da die versicherte Person bei Inkrafttreten der 4. IV-Revision am 1. Januar 2004 das 50. Altersjahr noch nicht vollendet hatte, kommt sie nicht in den Genuss der Bestandesgarantie gemäss lit. f SchlBest. (Entscheid des Versicherungsgerichts des Kantons St. Gallen vom 12. Februar 2008, IV 2006/203).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