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IV-2020/97 vom 25. Februar 2021</w:t>
      </w:r>
    </w:p>
    <w:p>
      <w:r>
        <w:t>SG Gerichte, 2021-02-25, DE</w:t>
      </w:r>
    </w:p>
    <w:p>
      <w:r>
        <w:rPr>
          <w:b/>
        </w:rPr>
        <w:t xml:space="preserve">Quelle: </w:t>
      </w:r>
      <w:r>
        <w:t>https://mcp.opencaselaw.ch/entscheid/sg_gerichte_IV-2020_97</w:t>
      </w:r>
    </w:p>
    <w:p>
      <w:r>
        <w:t>FR: SG_GERICHTE IV-2020/97 du 25 février 2021</w:t>
      </w:r>
    </w:p>
    <w:p>
      <w:r>
        <w:t>IT: SG_GERICHTE IV-2020/97 del 25 febbraio 2021</w:t>
      </w:r>
    </w:p>
    <w:p>
      <w:pPr>
        <w:pStyle w:val="Heading2"/>
      </w:pPr>
      <w:r>
        <w:t>Regeste</w:t>
      </w:r>
    </w:p>
    <w:p>
      <w:r>
        <w:t>Art. 14 Abs. 1 und 2, Art. 16 Abs. 1, Art. 16d Abs. 1 lit. b SVG (SR 741.01), Art. 5a Abs. 1, Art. 5abis VZV (SR 741.51). Der Rekurrent musste sich einer verkehrsmedizinischen Untersuchung unterziehen, nachdem der Hausarzt im Rahmen einer periodischen Kontrolluntersuchung den Verdacht auf einen erhöhten Alkoholkonsum geäussert hatte. In den Haaren des Rekurrenten wurden mehr als 100 pg/mg Ethylglucuronid (Abbauprodukt von Alkohol) gemessen. Zudem bagatellisierte er den Alkoholkonsum. Aus verkehrsmedizinischer Sicht wurde die Fahreignung verneint. Das Strassenverkehrsamt stützte sich auf das Gutachten ab und verfügte zu Recht einen Sicherungsentzug. Da es sich inhaltlich mit dem Gutachten nicht auseinandersetzte, wurden die Kosten dem Staat auferlegt (Verwaltungsrekurskommission, Abteilung IV, 25. Februar 2021, IV-2020/97).</w:t>
      </w:r>
    </w:p>
    <w:p>
      <w:pPr>
        <w:pStyle w:val="Heading2"/>
      </w:pPr>
      <w:r>
        <w:t>Volltext</w:t>
      </w:r>
    </w:p>
    <w:p>
      <w:r>
        <w:t>St.Gallen Verwaltungsrekurskommission 25.02.2021 IV-2020/97 Saint-Gall Verwaltungsrekurskommission 25.02.2021 IV-2020/97 San Gallo Verwaltungsrekurskommission 25.02.2021 IV-2020/97</w:t>
      </w:r>
    </w:p>
    <w:p>
      <w:r>
        <w:t>Art. 14 Abs. 1 und 2, Art. 16 Abs. 1, Art. 16d Abs. 1 lit. b SVG (SR 741.01), Art. 5a Abs. 1, Art. 5abis VZV (SR 741.51). Der Rekurrent musste sich einer verkehrsmedizinischen Untersuchung unterziehen, nachdem der Hausarzt im Rahmen einer periodischen Kontrolluntersuchung den Verdacht auf einen erhöhten Alkoholkonsum geäussert hatte. In den Haaren des Rekurrenten wurden mehr als 100 pg/mg Ethylglucuronid (Abbauprodukt von Alkohol) gemessen. Zudem bagatellisierte er den Alkoholkonsum. Aus verkehrsmedizinischer Sicht wurde die Fahreignung verneint. Das Strassenverkehrsamt stützte sich auf das Gutachten ab und verfügte zu Recht einen Sicherungsentzug. Da es sich inhaltlich mit dem Gutachten nicht auseinandersetzte, wurden die Kosten dem Staat auferlegt (Verwaltungsrekurskommission, Abteilung IV, 25. Februar 2021, IV-2020/97).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